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CSCR-2026-06002</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color w:val="auto"/>
          <w:sz w:val="44"/>
          <w:szCs w:val="44"/>
          <w:lang w:val="en-US" w:eastAsia="zh-CN"/>
        </w:rPr>
      </w:pPr>
    </w:p>
    <w:p>
      <w:pPr>
        <w:pStyle w:val="2"/>
        <w:rPr>
          <w:rFonts w:hint="eastAsia" w:ascii="方正小标宋_GBK" w:hAnsi="方正小标宋_GBK" w:eastAsia="方正小标宋_GBK" w:cs="方正小标宋_GBK"/>
          <w:b w:val="0"/>
          <w:bCs w:val="0"/>
          <w:color w:val="auto"/>
          <w:sz w:val="44"/>
          <w:szCs w:val="44"/>
          <w:lang w:val="en-US" w:eastAsia="zh-CN"/>
        </w:rPr>
      </w:pPr>
    </w:p>
    <w:p>
      <w:pPr>
        <w:rPr>
          <w:rFonts w:hint="eastAsia" w:ascii="方正小标宋_GBK" w:hAnsi="方正小标宋_GBK" w:eastAsia="方正小标宋_GBK" w:cs="方正小标宋_GBK"/>
          <w:b w:val="0"/>
          <w:bCs w:val="0"/>
          <w:color w:val="auto"/>
          <w:sz w:val="44"/>
          <w:szCs w:val="44"/>
          <w:lang w:val="en-US" w:eastAsia="zh-CN"/>
        </w:rPr>
      </w:pPr>
    </w:p>
    <w:p>
      <w:pPr>
        <w:pStyle w:val="2"/>
        <w:rPr>
          <w:rFonts w:hint="eastAsia"/>
          <w:lang w:val="en-US" w:eastAsia="zh-CN"/>
        </w:rPr>
      </w:pPr>
    </w:p>
    <w:p>
      <w:pPr>
        <w:pStyle w:val="2"/>
        <w:jc w:val="center"/>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长住建发〔2026〕3号</w:t>
      </w: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长沙市住房和城乡建设局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长沙市财政局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关于印发</w:t>
      </w:r>
      <w:r>
        <w:rPr>
          <w:rFonts w:hint="eastAsia" w:ascii="方正小标宋_GBK" w:hAnsi="方正小标宋_GBK" w:eastAsia="方正小标宋_GBK" w:cs="方正小标宋_GBK"/>
          <w:b w:val="0"/>
          <w:bCs w:val="0"/>
          <w:color w:val="auto"/>
          <w:sz w:val="44"/>
          <w:szCs w:val="44"/>
          <w:lang w:val="en-US" w:eastAsia="zh-CN"/>
        </w:rPr>
        <w:t>《</w:t>
      </w:r>
      <w:r>
        <w:rPr>
          <w:rFonts w:hint="eastAsia" w:ascii="方正小标宋_GBK" w:hAnsi="方正小标宋_GBK" w:eastAsia="方正小标宋_GBK" w:cs="方正小标宋_GBK"/>
          <w:b w:val="0"/>
          <w:bCs w:val="0"/>
          <w:color w:val="auto"/>
          <w:sz w:val="44"/>
          <w:szCs w:val="44"/>
          <w:lang w:eastAsia="zh-CN"/>
        </w:rPr>
        <w:t>长沙市建筑施工企业智能建造</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科技创新与新型建筑工业化引导奖补资金</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（建筑施工企业科技创新发展专项资金）</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color w:val="FF0000"/>
          <w:kern w:val="2"/>
          <w:sz w:val="44"/>
          <w:szCs w:val="44"/>
          <w:lang w:val="en-US" w:eastAsia="zh-CN" w:bidi="ar-SA"/>
        </w:rPr>
      </w:pPr>
      <w:r>
        <w:rPr>
          <w:rFonts w:hint="eastAsia" w:ascii="方正小标宋_GBK" w:hAnsi="方正小标宋_GBK" w:eastAsia="方正小标宋_GBK" w:cs="方正小标宋_GBK"/>
          <w:b w:val="0"/>
          <w:bCs w:val="0"/>
          <w:color w:val="auto"/>
          <w:sz w:val="44"/>
          <w:szCs w:val="44"/>
          <w:lang w:val="en-US" w:eastAsia="zh-CN"/>
        </w:rPr>
        <w:t>管理办法》（试行）的通知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各相关单位：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Tahoma" w:eastAsia="仿宋_GB2312" w:cs="Tahoma"/>
          <w:color w:val="000000"/>
          <w:kern w:val="0"/>
          <w:sz w:val="32"/>
          <w:szCs w:val="32"/>
          <w:lang w:val="en-US" w:eastAsia="zh-CN"/>
        </w:rPr>
      </w:pPr>
      <w:r>
        <w:rPr>
          <w:rFonts w:hint="eastAsia" w:ascii="仿宋_GB2312" w:hAnsi="Tahoma" w:eastAsia="仿宋_GB2312" w:cs="Tahoma"/>
          <w:color w:val="000000"/>
          <w:kern w:val="0"/>
          <w:sz w:val="32"/>
          <w:szCs w:val="32"/>
        </w:rPr>
        <w:t>为加强</w:t>
      </w:r>
      <w:r>
        <w:rPr>
          <w:rFonts w:hint="eastAsia" w:ascii="仿宋_GB2312" w:hAnsi="Tahoma" w:eastAsia="仿宋_GB2312" w:cs="Tahoma"/>
          <w:color w:val="000000"/>
          <w:kern w:val="0"/>
          <w:sz w:val="32"/>
          <w:szCs w:val="32"/>
          <w:lang w:eastAsia="zh-CN"/>
        </w:rPr>
        <w:t>长沙市建筑业智能建造科技创新与新型建筑工业化引导奖补资金</w:t>
      </w:r>
      <w:r>
        <w:rPr>
          <w:rFonts w:hint="eastAsia" w:ascii="仿宋_GB2312" w:hAnsi="Tahoma" w:eastAsia="仿宋_GB2312" w:cs="Tahoma"/>
          <w:color w:val="000000"/>
          <w:kern w:val="0"/>
          <w:sz w:val="32"/>
          <w:szCs w:val="32"/>
          <w:lang w:val="en-US" w:eastAsia="zh-CN"/>
        </w:rPr>
        <w:t>管理</w:t>
      </w:r>
      <w:r>
        <w:rPr>
          <w:rFonts w:hint="eastAsia" w:ascii="仿宋_GB2312" w:hAnsi="Tahoma" w:eastAsia="仿宋_GB2312" w:cs="Tahoma"/>
          <w:color w:val="000000"/>
          <w:kern w:val="0"/>
          <w:sz w:val="32"/>
          <w:szCs w:val="32"/>
        </w:rPr>
        <w:t>，</w:t>
      </w:r>
      <w:r>
        <w:rPr>
          <w:rFonts w:hint="eastAsia" w:ascii="仿宋_GB2312" w:hAnsi="Tahoma" w:eastAsia="仿宋_GB2312" w:cs="Tahoma"/>
          <w:color w:val="000000"/>
          <w:kern w:val="0"/>
          <w:sz w:val="32"/>
          <w:szCs w:val="32"/>
          <w:lang w:eastAsia="zh-CN"/>
        </w:rPr>
        <w:t>根据市政府工作要求</w:t>
      </w:r>
      <w:r>
        <w:rPr>
          <w:rFonts w:hint="eastAsia" w:ascii="仿宋_GB2312" w:hAnsi="Tahoma" w:eastAsia="仿宋_GB2312" w:cs="Tahoma"/>
          <w:color w:val="auto"/>
          <w:kern w:val="0"/>
          <w:sz w:val="32"/>
          <w:szCs w:val="32"/>
        </w:rPr>
        <w:t>，</w:t>
      </w:r>
      <w:r>
        <w:rPr>
          <w:rFonts w:hint="eastAsia" w:ascii="仿宋_GB2312" w:hAnsi="Tahoma" w:eastAsia="仿宋_GB2312" w:cs="Tahoma"/>
          <w:color w:val="auto"/>
          <w:kern w:val="0"/>
          <w:sz w:val="32"/>
          <w:szCs w:val="32"/>
          <w:lang w:eastAsia="zh-CN"/>
        </w:rPr>
        <w:t>市住房城乡建设局联合市财政局</w:t>
      </w:r>
      <w:r>
        <w:rPr>
          <w:rFonts w:hint="eastAsia" w:ascii="仿宋_GB2312" w:hAnsi="Tahoma" w:eastAsia="仿宋_GB2312" w:cs="Tahoma"/>
          <w:color w:val="000000"/>
          <w:kern w:val="0"/>
          <w:sz w:val="32"/>
          <w:szCs w:val="32"/>
          <w:lang w:eastAsia="zh-CN"/>
        </w:rPr>
        <w:t>制定了</w:t>
      </w:r>
      <w:r>
        <w:rPr>
          <w:rFonts w:hint="eastAsia" w:ascii="仿宋_GB2312" w:hAnsi="Tahoma" w:eastAsia="仿宋_GB2312" w:cs="Tahoma"/>
          <w:color w:val="000000"/>
          <w:kern w:val="0"/>
          <w:sz w:val="32"/>
          <w:szCs w:val="32"/>
          <w:lang w:val="en-US" w:eastAsia="zh-CN"/>
        </w:rPr>
        <w:t>《</w:t>
      </w:r>
      <w:r>
        <w:rPr>
          <w:rFonts w:hint="eastAsia" w:ascii="仿宋_GB2312" w:hAnsi="Tahoma" w:eastAsia="仿宋_GB2312" w:cs="Tahoma"/>
          <w:color w:val="000000"/>
          <w:kern w:val="0"/>
          <w:sz w:val="32"/>
          <w:szCs w:val="32"/>
          <w:lang w:eastAsia="zh-CN"/>
        </w:rPr>
        <w:t>长沙市建筑施工企业智能建造科技创新与新型建筑工业化引导奖补资金（建筑施工企业科技创新发展专项资金）</w:t>
      </w:r>
      <w:r>
        <w:rPr>
          <w:rFonts w:hint="eastAsia" w:ascii="仿宋_GB2312" w:hAnsi="Tahoma" w:eastAsia="仿宋_GB2312" w:cs="Tahoma"/>
          <w:color w:val="000000"/>
          <w:kern w:val="0"/>
          <w:sz w:val="32"/>
          <w:szCs w:val="32"/>
          <w:lang w:val="en-US" w:eastAsia="zh-CN"/>
        </w:rPr>
        <w:t>管理办法》，现印发执行。</w:t>
      </w:r>
    </w:p>
    <w:p>
      <w:pPr>
        <w:pStyle w:val="4"/>
        <w:keepNext w:val="0"/>
        <w:keepLines w:val="0"/>
        <w:pageBreakBefore w:val="0"/>
        <w:widowControl w:val="0"/>
        <w:kinsoku/>
        <w:wordWrap/>
        <w:overflowPunct/>
        <w:topLinePunct w:val="0"/>
        <w:autoSpaceDE/>
        <w:autoSpaceDN/>
        <w:bidi w:val="0"/>
        <w:adjustRightInd/>
        <w:snapToGrid w:val="0"/>
        <w:spacing w:line="600" w:lineRule="exact"/>
        <w:textAlignment w:val="auto"/>
        <w:rPr>
          <w:rFonts w:hint="eastAsia" w:ascii="仿宋_GB2312" w:hAnsi="Tahoma" w:eastAsia="仿宋_GB2312" w:cs="Tahoma"/>
          <w:color w:val="000000"/>
          <w:kern w:val="0"/>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val="0"/>
        <w:spacing w:line="600" w:lineRule="exact"/>
        <w:ind w:left="1918" w:leftChars="304" w:hanging="1280" w:hangingChars="400"/>
        <w:textAlignment w:val="auto"/>
        <w:rPr>
          <w:rFonts w:hint="eastAsia" w:ascii="仿宋_GB2312" w:hAnsi="Tahoma" w:eastAsia="仿宋_GB2312" w:cs="Tahoma"/>
          <w:color w:val="000000"/>
          <w:kern w:val="0"/>
          <w:sz w:val="32"/>
          <w:szCs w:val="32"/>
          <w:lang w:val="en-US" w:eastAsia="zh-CN"/>
        </w:rPr>
      </w:pPr>
      <w:r>
        <w:rPr>
          <w:rFonts w:hint="eastAsia" w:ascii="仿宋_GB2312" w:hAnsi="Tahoma" w:eastAsia="仿宋_GB2312" w:cs="Tahoma"/>
          <w:color w:val="000000"/>
          <w:kern w:val="0"/>
          <w:sz w:val="32"/>
          <w:szCs w:val="32"/>
          <w:lang w:val="en-US" w:eastAsia="zh-CN"/>
        </w:rPr>
        <w:t>附件：《</w:t>
      </w:r>
      <w:r>
        <w:rPr>
          <w:rFonts w:hint="eastAsia" w:ascii="仿宋_GB2312" w:hAnsi="Tahoma" w:eastAsia="仿宋_GB2312" w:cs="Tahoma"/>
          <w:color w:val="000000"/>
          <w:kern w:val="0"/>
          <w:sz w:val="32"/>
          <w:szCs w:val="32"/>
          <w:lang w:eastAsia="zh-CN"/>
        </w:rPr>
        <w:t>长沙市建筑施工企业智能建造科技创新与新型建筑工业化引导奖补资金（建筑施工企业科技创新发展专项资金）</w:t>
      </w:r>
      <w:r>
        <w:rPr>
          <w:rFonts w:hint="eastAsia" w:ascii="仿宋_GB2312" w:hAnsi="Tahoma" w:eastAsia="仿宋_GB2312" w:cs="Tahoma"/>
          <w:color w:val="000000"/>
          <w:kern w:val="0"/>
          <w:sz w:val="32"/>
          <w:szCs w:val="32"/>
          <w:lang w:val="en-US" w:eastAsia="zh-CN"/>
        </w:rPr>
        <w:t>管理</w:t>
      </w:r>
      <w:bookmarkStart w:id="1" w:name="_GoBack"/>
      <w:r>
        <w:rPr>
          <w:rFonts w:hint="eastAsia" w:ascii="仿宋_GB2312" w:hAnsi="Tahoma" w:eastAsia="仿宋_GB2312" w:cs="Tahoma"/>
          <w:color w:val="000000"/>
          <w:kern w:val="0"/>
          <w:sz w:val="32"/>
          <w:szCs w:val="32"/>
          <w:lang w:val="en-US" w:eastAsia="zh-CN"/>
        </w:rPr>
        <w:t>办法》（试行）</w:t>
      </w:r>
      <w:bookmarkEnd w:id="1"/>
    </w:p>
    <w:p>
      <w:pPr>
        <w:pStyle w:val="4"/>
        <w:rPr>
          <w:rFonts w:hint="default" w:ascii="仿宋_GB2312" w:hAnsi="Tahoma" w:eastAsia="仿宋_GB2312" w:cs="Tahoma"/>
          <w:color w:val="000000"/>
          <w:kern w:val="0"/>
          <w:sz w:val="32"/>
          <w:szCs w:val="32"/>
          <w:lang w:val="en-US" w:eastAsia="zh-CN"/>
        </w:rPr>
      </w:pPr>
      <w:r>
        <w:rPr>
          <w:rFonts w:hint="eastAsia" w:ascii="仿宋_GB2312" w:hAnsi="Tahoma" w:eastAsia="仿宋_GB2312" w:cs="Tahoma"/>
          <w:color w:val="000000"/>
          <w:kern w:val="0"/>
          <w:sz w:val="32"/>
          <w:szCs w:val="32"/>
          <w:lang w:val="en-US" w:eastAsia="zh-CN"/>
        </w:rPr>
        <w:t xml:space="preserve"> </w:t>
      </w:r>
    </w:p>
    <w:p>
      <w:pPr>
        <w:pStyle w:val="4"/>
        <w:rPr>
          <w:rFonts w:hint="eastAsia" w:ascii="仿宋_GB2312" w:hAnsi="Tahoma" w:eastAsia="仿宋_GB2312" w:cs="Tahoma"/>
          <w:color w:val="000000"/>
          <w:kern w:val="0"/>
          <w:sz w:val="32"/>
          <w:szCs w:val="32"/>
          <w:lang w:val="en-US" w:eastAsia="zh-CN"/>
        </w:rPr>
      </w:pPr>
    </w:p>
    <w:p>
      <w:pPr>
        <w:pStyle w:val="4"/>
        <w:rPr>
          <w:rFonts w:hint="eastAsia" w:ascii="仿宋_GB2312" w:hAnsi="Tahoma" w:eastAsia="仿宋_GB2312" w:cs="Tahoma"/>
          <w:color w:val="000000"/>
          <w:kern w:val="0"/>
          <w:sz w:val="32"/>
          <w:szCs w:val="32"/>
          <w:lang w:val="en-US" w:eastAsia="zh-CN"/>
        </w:rPr>
      </w:pPr>
    </w:p>
    <w:p>
      <w:pPr>
        <w:pStyle w:val="4"/>
        <w:ind w:firstLine="960" w:firstLineChars="300"/>
        <w:rPr>
          <w:rFonts w:hint="eastAsia" w:ascii="仿宋_GB2312" w:hAnsi="Tahoma" w:eastAsia="仿宋_GB2312" w:cs="Tahoma"/>
          <w:color w:val="000000"/>
          <w:kern w:val="0"/>
          <w:sz w:val="32"/>
          <w:szCs w:val="32"/>
          <w:lang w:val="en-US" w:eastAsia="zh-CN"/>
        </w:rPr>
      </w:pPr>
    </w:p>
    <w:p>
      <w:pPr>
        <w:pStyle w:val="4"/>
        <w:ind w:firstLine="960" w:firstLineChars="300"/>
        <w:rPr>
          <w:rFonts w:hint="eastAsia" w:ascii="仿宋_GB2312" w:hAnsi="Tahoma" w:eastAsia="仿宋_GB2312" w:cs="Tahoma"/>
          <w:color w:val="000000"/>
          <w:kern w:val="0"/>
          <w:sz w:val="32"/>
          <w:szCs w:val="32"/>
          <w:lang w:val="en-US" w:eastAsia="zh-CN"/>
        </w:rPr>
      </w:pPr>
    </w:p>
    <w:p>
      <w:pPr>
        <w:pStyle w:val="4"/>
        <w:ind w:firstLine="960" w:firstLineChars="300"/>
        <w:rPr>
          <w:rFonts w:hint="eastAsia" w:ascii="仿宋_GB2312" w:hAnsi="Tahoma" w:eastAsia="仿宋_GB2312" w:cs="Tahoma"/>
          <w:color w:val="000000"/>
          <w:kern w:val="0"/>
          <w:sz w:val="32"/>
          <w:szCs w:val="32"/>
          <w:lang w:val="en-US" w:eastAsia="zh-CN"/>
        </w:rPr>
      </w:pPr>
    </w:p>
    <w:p>
      <w:pPr>
        <w:pStyle w:val="4"/>
        <w:ind w:firstLine="960" w:firstLineChars="300"/>
        <w:rPr>
          <w:rFonts w:hint="eastAsia" w:ascii="仿宋_GB2312" w:hAnsi="Tahoma" w:eastAsia="仿宋_GB2312" w:cs="Tahoma"/>
          <w:color w:val="000000"/>
          <w:kern w:val="0"/>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val="0"/>
        <w:spacing w:line="600" w:lineRule="exact"/>
        <w:textAlignment w:val="auto"/>
        <w:rPr>
          <w:rFonts w:hint="default" w:ascii="仿宋_GB2312" w:hAnsi="Tahoma" w:eastAsia="仿宋_GB2312" w:cs="Tahoma"/>
          <w:color w:val="000000"/>
          <w:kern w:val="0"/>
          <w:sz w:val="32"/>
          <w:szCs w:val="32"/>
          <w:lang w:val="en-US" w:eastAsia="zh-CN"/>
        </w:rPr>
      </w:pPr>
      <w:r>
        <w:rPr>
          <w:rFonts w:hint="eastAsia" w:ascii="仿宋_GB2312" w:hAnsi="Tahoma" w:eastAsia="仿宋_GB2312" w:cs="Tahoma"/>
          <w:color w:val="000000"/>
          <w:kern w:val="0"/>
          <w:sz w:val="32"/>
          <w:szCs w:val="32"/>
          <w:lang w:val="en-US" w:eastAsia="zh-CN"/>
        </w:rPr>
        <w:t>长沙市住房和城乡建设局              长沙市财政局</w:t>
      </w:r>
    </w:p>
    <w:p>
      <w:pPr>
        <w:pStyle w:val="4"/>
        <w:keepNext w:val="0"/>
        <w:keepLines w:val="0"/>
        <w:pageBreakBefore w:val="0"/>
        <w:widowControl w:val="0"/>
        <w:kinsoku/>
        <w:wordWrap/>
        <w:overflowPunct/>
        <w:topLinePunct w:val="0"/>
        <w:autoSpaceDE/>
        <w:autoSpaceDN/>
        <w:bidi w:val="0"/>
        <w:adjustRightInd/>
        <w:snapToGrid w:val="0"/>
        <w:spacing w:line="600" w:lineRule="exact"/>
        <w:ind w:firstLine="5440" w:firstLineChars="1700"/>
        <w:textAlignment w:val="auto"/>
        <w:rPr>
          <w:rFonts w:hint="eastAsia" w:ascii="仿宋_GB2312" w:hAnsi="Tahoma" w:eastAsia="仿宋_GB2312" w:cs="Tahoma"/>
          <w:color w:val="000000"/>
          <w:kern w:val="0"/>
          <w:sz w:val="32"/>
          <w:szCs w:val="32"/>
          <w:lang w:val="en-US" w:eastAsia="zh-CN"/>
        </w:rPr>
      </w:pPr>
      <w:r>
        <w:rPr>
          <w:rFonts w:hint="eastAsia" w:ascii="仿宋_GB2312" w:hAnsi="Tahoma" w:eastAsia="仿宋_GB2312" w:cs="Tahoma"/>
          <w:color w:val="000000"/>
          <w:kern w:val="0"/>
          <w:sz w:val="32"/>
          <w:szCs w:val="32"/>
          <w:lang w:val="en-US" w:eastAsia="zh-CN"/>
        </w:rPr>
        <w:t>2026年2月12日</w:t>
      </w:r>
    </w:p>
    <w:p>
      <w:pPr>
        <w:pStyle w:val="4"/>
        <w:ind w:firstLine="5440" w:firstLineChars="1700"/>
        <w:rPr>
          <w:rFonts w:hint="eastAsia" w:ascii="仿宋_GB2312" w:hAnsi="Tahoma" w:eastAsia="仿宋_GB2312" w:cs="Tahoma"/>
          <w:color w:val="000000"/>
          <w:kern w:val="0"/>
          <w:sz w:val="32"/>
          <w:szCs w:val="32"/>
          <w:lang w:val="en-US" w:eastAsia="zh-CN"/>
        </w:rPr>
      </w:pPr>
    </w:p>
    <w:p>
      <w:pPr>
        <w:pStyle w:val="4"/>
        <w:rPr>
          <w:rFonts w:hint="eastAsia" w:ascii="仿宋_GB2312" w:hAnsi="Tahoma" w:eastAsia="仿宋_GB2312" w:cs="Tahoma"/>
          <w:color w:val="000000"/>
          <w:kern w:val="0"/>
          <w:sz w:val="32"/>
          <w:szCs w:val="32"/>
          <w:lang w:val="en-US" w:eastAsia="zh-CN"/>
        </w:rPr>
      </w:pPr>
    </w:p>
    <w:p>
      <w:pPr>
        <w:pStyle w:val="4"/>
        <w:rPr>
          <w:rFonts w:hint="eastAsia" w:ascii="仿宋_GB2312" w:hAnsi="Tahoma" w:eastAsia="仿宋_GB2312" w:cs="Tahoma"/>
          <w:color w:val="000000"/>
          <w:kern w:val="0"/>
          <w:sz w:val="32"/>
          <w:szCs w:val="32"/>
          <w:lang w:val="en-US" w:eastAsia="zh-CN"/>
        </w:rPr>
      </w:pPr>
    </w:p>
    <w:p>
      <w:pPr>
        <w:pStyle w:val="4"/>
        <w:rPr>
          <w:rFonts w:hint="eastAsia" w:ascii="仿宋_GB2312" w:hAnsi="Tahoma" w:eastAsia="仿宋_GB2312" w:cs="Tahoma"/>
          <w:color w:val="000000"/>
          <w:kern w:val="0"/>
          <w:sz w:val="32"/>
          <w:szCs w:val="32"/>
          <w:lang w:val="en-US" w:eastAsia="zh-CN"/>
        </w:rPr>
      </w:pPr>
    </w:p>
    <w:p>
      <w:pPr>
        <w:pStyle w:val="4"/>
        <w:rPr>
          <w:rFonts w:hint="eastAsia" w:ascii="仿宋_GB2312" w:hAnsi="Tahoma" w:eastAsia="仿宋_GB2312" w:cs="Tahoma"/>
          <w:color w:val="000000"/>
          <w:kern w:val="0"/>
          <w:sz w:val="32"/>
          <w:szCs w:val="32"/>
          <w:lang w:val="en-US" w:eastAsia="zh-CN"/>
        </w:rPr>
      </w:pPr>
    </w:p>
    <w:p>
      <w:pPr>
        <w:pStyle w:val="4"/>
        <w:rPr>
          <w:rFonts w:hint="eastAsia" w:ascii="仿宋_GB2312" w:hAnsi="Tahoma" w:eastAsia="仿宋_GB2312" w:cs="Tahoma"/>
          <w:color w:val="000000"/>
          <w:kern w:val="0"/>
          <w:sz w:val="32"/>
          <w:szCs w:val="32"/>
          <w:lang w:val="en-US" w:eastAsia="zh-CN"/>
        </w:rPr>
      </w:pPr>
    </w:p>
    <w:p>
      <w:pPr>
        <w:pStyle w:val="4"/>
        <w:rPr>
          <w:rFonts w:hint="eastAsia" w:ascii="仿宋_GB2312" w:hAnsi="Tahoma" w:eastAsia="仿宋_GB2312" w:cs="Tahoma"/>
          <w:color w:val="000000"/>
          <w:kern w:val="0"/>
          <w:sz w:val="32"/>
          <w:szCs w:val="32"/>
          <w:lang w:val="en-US" w:eastAsia="zh-CN"/>
        </w:rPr>
      </w:pPr>
    </w:p>
    <w:p>
      <w:pPr>
        <w:pStyle w:val="4"/>
        <w:rPr>
          <w:rFonts w:hint="eastAsia" w:ascii="仿宋_GB2312" w:hAnsi="Tahoma" w:eastAsia="仿宋_GB2312" w:cs="Tahoma"/>
          <w:color w:val="000000"/>
          <w:kern w:val="0"/>
          <w:sz w:val="32"/>
          <w:szCs w:val="32"/>
          <w:lang w:val="en-US" w:eastAsia="zh-CN"/>
        </w:rPr>
        <w:sectPr>
          <w:footerReference r:id="rId3" w:type="default"/>
          <w:pgSz w:w="11906" w:h="16838"/>
          <w:pgMar w:top="2098" w:right="1474" w:bottom="1984" w:left="1587" w:header="851" w:footer="1417"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eastAsia" w:ascii="仿宋_GB2312" w:hAnsi="Tahoma" w:eastAsia="仿宋_GB2312" w:cs="Tahoma"/>
          <w:color w:val="000000"/>
          <w:kern w:val="0"/>
          <w:sz w:val="32"/>
          <w:szCs w:val="32"/>
          <w:lang w:val="en-US" w:eastAsia="zh-CN"/>
        </w:rPr>
        <w:t>（此件主动公开）</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eastAsia="zh-CN"/>
        </w:rPr>
        <w:t>长沙市建筑施工企业智能建造科技创新与新型建筑工业化引导奖补资金（建筑施工企业科技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b w:val="0"/>
          <w:bCs w:val="0"/>
          <w:color w:val="FF0000"/>
          <w:kern w:val="2"/>
          <w:sz w:val="44"/>
          <w:szCs w:val="44"/>
          <w:lang w:val="en-US" w:eastAsia="zh-CN" w:bidi="ar-SA"/>
        </w:rPr>
      </w:pPr>
      <w:r>
        <w:rPr>
          <w:rFonts w:hint="eastAsia" w:ascii="Times New Roman" w:hAnsi="Times New Roman" w:eastAsia="方正小标宋_GBK" w:cs="方正小标宋_GBK"/>
          <w:sz w:val="44"/>
          <w:szCs w:val="44"/>
          <w:lang w:eastAsia="zh-CN"/>
        </w:rPr>
        <w:t>创新发展专项资金）</w:t>
      </w:r>
      <w:r>
        <w:rPr>
          <w:rFonts w:hint="eastAsia" w:ascii="Times New Roman" w:hAnsi="Times New Roman" w:eastAsia="方正小标宋_GBK" w:cs="方正小标宋_GBK"/>
          <w:sz w:val="44"/>
          <w:szCs w:val="44"/>
          <w:lang w:val="en-US" w:eastAsia="zh-CN"/>
        </w:rPr>
        <w:t>管理办法</w:t>
      </w:r>
      <w:r>
        <w:rPr>
          <w:rFonts w:hint="eastAsia" w:ascii="方正小标宋_GBK" w:hAnsi="方正小标宋_GBK" w:eastAsia="方正小标宋_GBK" w:cs="方正小标宋_GBK"/>
          <w:b w:val="0"/>
          <w:bCs w:val="0"/>
          <w:color w:val="auto"/>
          <w:sz w:val="44"/>
          <w:szCs w:val="44"/>
          <w:lang w:val="en-US" w:eastAsia="zh-CN"/>
        </w:rPr>
        <w:t>（试行）</w:t>
      </w:r>
    </w:p>
    <w:p>
      <w:pPr>
        <w:keepNext w:val="0"/>
        <w:keepLines w:val="0"/>
        <w:pageBreakBefore w:val="0"/>
        <w:widowControl w:val="0"/>
        <w:kinsoku/>
        <w:wordWrap/>
        <w:overflowPunct/>
        <w:topLinePunct w:val="0"/>
        <w:autoSpaceDE/>
        <w:autoSpaceDN/>
        <w:bidi w:val="0"/>
        <w:adjustRightInd/>
        <w:snapToGrid/>
        <w:spacing w:after="157" w:afterLines="50" w:line="600" w:lineRule="exact"/>
        <w:jc w:val="center"/>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after="313" w:afterLines="100" w:line="600" w:lineRule="exact"/>
        <w:jc w:val="center"/>
        <w:textAlignment w:val="auto"/>
        <w:rPr>
          <w:rFonts w:hint="eastAsia" w:ascii="黑体" w:hAnsi="黑体" w:eastAsia="黑体"/>
          <w:sz w:val="32"/>
          <w:szCs w:val="32"/>
          <w:lang w:eastAsia="zh-CN"/>
        </w:rPr>
      </w:pPr>
      <w:r>
        <w:rPr>
          <w:rFonts w:hint="eastAsia" w:ascii="黑体" w:hAnsi="黑体" w:eastAsia="黑体"/>
          <w:sz w:val="32"/>
          <w:szCs w:val="32"/>
        </w:rPr>
        <w:t>第一章</w:t>
      </w:r>
      <w:r>
        <w:rPr>
          <w:rFonts w:hint="eastAsia" w:ascii="黑体" w:hAnsi="黑体" w:eastAsia="黑体"/>
          <w:sz w:val="32"/>
          <w:szCs w:val="32"/>
          <w:lang w:val="en-US" w:eastAsia="zh-CN"/>
        </w:rPr>
        <w:t xml:space="preserve">   </w:t>
      </w:r>
      <w:r>
        <w:rPr>
          <w:rFonts w:hint="eastAsia" w:ascii="黑体" w:hAnsi="黑体" w:eastAsia="黑体"/>
          <w:sz w:val="32"/>
          <w:szCs w:val="32"/>
        </w:rPr>
        <w:t>总</w:t>
      </w:r>
      <w:r>
        <w:rPr>
          <w:rFonts w:hint="eastAsia" w:ascii="黑体" w:hAnsi="黑体" w:eastAsia="黑体"/>
          <w:sz w:val="32"/>
          <w:szCs w:val="32"/>
          <w:lang w:val="en-US" w:eastAsia="zh-CN"/>
        </w:rPr>
        <w:t xml:space="preserve">  </w:t>
      </w:r>
      <w:r>
        <w:rPr>
          <w:rFonts w:hint="eastAsia" w:ascii="黑体" w:hAnsi="黑体" w:eastAsia="黑体"/>
          <w:sz w:val="32"/>
          <w:szCs w:val="32"/>
        </w:rPr>
        <w:t>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_GB2312" w:hAnsi="Tahoma" w:eastAsia="仿宋_GB2312" w:cs="Tahoma"/>
          <w:color w:val="000000"/>
          <w:kern w:val="0"/>
          <w:sz w:val="32"/>
          <w:szCs w:val="32"/>
        </w:rPr>
      </w:pPr>
      <w:r>
        <w:rPr>
          <w:rFonts w:hint="eastAsia" w:ascii="黑体" w:hAnsi="黑体" w:eastAsia="黑体" w:cs="黑体"/>
          <w:b w:val="0"/>
          <w:bCs/>
          <w:sz w:val="32"/>
          <w:szCs w:val="32"/>
        </w:rPr>
        <w:t>第一条</w:t>
      </w:r>
      <w:r>
        <w:rPr>
          <w:rFonts w:hint="eastAsia" w:ascii="仿宋_GB2312" w:eastAsia="仿宋_GB2312"/>
          <w:b/>
          <w:sz w:val="32"/>
          <w:szCs w:val="32"/>
          <w:lang w:val="en-US" w:eastAsia="zh-CN"/>
        </w:rPr>
        <w:t xml:space="preserve">  </w:t>
      </w:r>
      <w:r>
        <w:rPr>
          <w:rFonts w:hint="eastAsia" w:ascii="仿宋_GB2312" w:hAnsi="Tahoma" w:eastAsia="仿宋_GB2312" w:cs="Tahoma"/>
          <w:color w:val="000000"/>
          <w:kern w:val="0"/>
          <w:sz w:val="32"/>
          <w:szCs w:val="32"/>
        </w:rPr>
        <w:t>为加强</w:t>
      </w:r>
      <w:r>
        <w:rPr>
          <w:rFonts w:hint="eastAsia" w:ascii="仿宋_GB2312" w:hAnsi="Tahoma" w:eastAsia="仿宋_GB2312" w:cs="Tahoma"/>
          <w:color w:val="000000"/>
          <w:kern w:val="0"/>
          <w:sz w:val="32"/>
          <w:szCs w:val="32"/>
          <w:lang w:eastAsia="zh-CN"/>
        </w:rPr>
        <w:t>长沙市建筑业智能建造科技创新与新型建筑工业化引导奖补资金</w:t>
      </w:r>
      <w:r>
        <w:rPr>
          <w:rFonts w:hint="eastAsia" w:ascii="仿宋_GB2312" w:hAnsi="Tahoma" w:eastAsia="仿宋_GB2312" w:cs="Tahoma"/>
          <w:color w:val="000000"/>
          <w:kern w:val="0"/>
          <w:sz w:val="32"/>
          <w:szCs w:val="32"/>
          <w:lang w:val="en-US" w:eastAsia="zh-CN"/>
        </w:rPr>
        <w:t>管理</w:t>
      </w:r>
      <w:r>
        <w:rPr>
          <w:rFonts w:hint="eastAsia" w:ascii="仿宋_GB2312" w:hAnsi="Tahoma" w:eastAsia="仿宋_GB2312" w:cs="Tahoma"/>
          <w:color w:val="000000"/>
          <w:kern w:val="0"/>
          <w:sz w:val="32"/>
          <w:szCs w:val="32"/>
        </w:rPr>
        <w:t>，提高资金使用效益，结合我市实际情况</w:t>
      </w:r>
      <w:r>
        <w:rPr>
          <w:rFonts w:hint="eastAsia" w:ascii="仿宋" w:hAnsi="仿宋" w:eastAsia="仿宋" w:cs="仿宋"/>
          <w:color w:val="000000"/>
          <w:kern w:val="0"/>
          <w:sz w:val="32"/>
          <w:szCs w:val="32"/>
        </w:rPr>
        <w:t>,</w:t>
      </w:r>
      <w:r>
        <w:rPr>
          <w:rFonts w:hint="eastAsia" w:ascii="仿宋_GB2312" w:hAnsi="Tahoma" w:eastAsia="仿宋_GB2312" w:cs="Tahoma"/>
          <w:color w:val="000000"/>
          <w:kern w:val="0"/>
          <w:sz w:val="32"/>
          <w:szCs w:val="32"/>
        </w:rPr>
        <w:t>制定本办法。</w:t>
      </w:r>
    </w:p>
    <w:p>
      <w:pPr>
        <w:keepNext w:val="0"/>
        <w:keepLines w:val="0"/>
        <w:pageBreakBefore w:val="0"/>
        <w:kinsoku/>
        <w:wordWrap/>
        <w:overflowPunct/>
        <w:topLinePunct w:val="0"/>
        <w:autoSpaceDE/>
        <w:autoSpaceDN/>
        <w:bidi w:val="0"/>
        <w:adjustRightInd/>
        <w:snapToGrid/>
        <w:spacing w:line="600" w:lineRule="exact"/>
        <w:ind w:firstLine="598" w:firstLineChars="0"/>
        <w:jc w:val="left"/>
        <w:textAlignment w:val="auto"/>
        <w:rPr>
          <w:rFonts w:hint="eastAsia" w:ascii="Times New Roman" w:hAnsi="Times New Roman" w:eastAsia="仿宋" w:cs="Times New Roman"/>
          <w:color w:val="000000"/>
          <w:sz w:val="32"/>
          <w:szCs w:val="32"/>
          <w:lang w:val="en-US" w:eastAsia="zh-CN"/>
        </w:rPr>
      </w:pPr>
      <w:r>
        <w:rPr>
          <w:rFonts w:hint="eastAsia" w:ascii="黑体" w:hAnsi="黑体" w:eastAsia="黑体" w:cs="黑体"/>
          <w:b w:val="0"/>
          <w:bCs/>
          <w:sz w:val="32"/>
          <w:szCs w:val="32"/>
        </w:rPr>
        <w:t>第二条</w:t>
      </w:r>
      <w:r>
        <w:rPr>
          <w:rFonts w:hint="eastAsia" w:ascii="仿宋_GB2312" w:eastAsia="仿宋_GB2312"/>
          <w:b/>
          <w:sz w:val="32"/>
          <w:szCs w:val="32"/>
          <w:lang w:val="en-US" w:eastAsia="zh-CN"/>
        </w:rPr>
        <w:t xml:space="preserve">  </w:t>
      </w:r>
      <w:r>
        <w:rPr>
          <w:rFonts w:hint="eastAsia" w:ascii="仿宋_GB2312" w:hAnsi="Tahoma" w:eastAsia="仿宋_GB2312" w:cs="Tahoma"/>
          <w:color w:val="000000"/>
          <w:kern w:val="0"/>
          <w:sz w:val="32"/>
          <w:szCs w:val="32"/>
        </w:rPr>
        <w:t>本办法所称“</w:t>
      </w:r>
      <w:r>
        <w:rPr>
          <w:rFonts w:hint="eastAsia" w:ascii="仿宋_GB2312" w:hAnsi="Tahoma" w:eastAsia="仿宋_GB2312" w:cs="Tahoma"/>
          <w:color w:val="000000"/>
          <w:kern w:val="0"/>
          <w:sz w:val="32"/>
          <w:szCs w:val="32"/>
          <w:lang w:eastAsia="zh-CN"/>
        </w:rPr>
        <w:t>建筑施工企业智能建造科技创新与新型建筑工业化引导奖补资金</w:t>
      </w:r>
      <w:r>
        <w:rPr>
          <w:rFonts w:hint="eastAsia" w:ascii="仿宋_GB2312" w:hAnsi="Tahoma" w:eastAsia="仿宋_GB2312" w:cs="Tahoma"/>
          <w:color w:val="000000"/>
          <w:kern w:val="0"/>
          <w:sz w:val="32"/>
          <w:szCs w:val="32"/>
        </w:rPr>
        <w:t>”(以下简称</w:t>
      </w:r>
      <w:r>
        <w:rPr>
          <w:rFonts w:hint="eastAsia" w:ascii="仿宋_GB2312" w:hAnsi="Tahoma" w:eastAsia="仿宋_GB2312" w:cs="Tahoma"/>
          <w:color w:val="000000"/>
          <w:kern w:val="0"/>
          <w:sz w:val="32"/>
          <w:szCs w:val="32"/>
          <w:lang w:eastAsia="zh-CN"/>
        </w:rPr>
        <w:t>“引导奖补</w:t>
      </w:r>
      <w:r>
        <w:rPr>
          <w:rFonts w:hint="eastAsia" w:ascii="仿宋_GB2312" w:hAnsi="Tahoma" w:eastAsia="仿宋_GB2312" w:cs="Tahoma"/>
          <w:color w:val="000000"/>
          <w:kern w:val="0"/>
          <w:sz w:val="32"/>
          <w:szCs w:val="32"/>
        </w:rPr>
        <w:t>资金</w:t>
      </w:r>
      <w:r>
        <w:rPr>
          <w:rFonts w:hint="eastAsia" w:ascii="仿宋_GB2312" w:hAnsi="Tahoma" w:eastAsia="仿宋_GB2312" w:cs="Tahoma"/>
          <w:color w:val="000000"/>
          <w:kern w:val="0"/>
          <w:sz w:val="32"/>
          <w:szCs w:val="32"/>
          <w:lang w:eastAsia="zh-CN"/>
        </w:rPr>
        <w:t>”</w:t>
      </w:r>
      <w:r>
        <w:rPr>
          <w:rFonts w:hint="eastAsia" w:ascii="仿宋_GB2312" w:hAnsi="Tahoma" w:eastAsia="仿宋_GB2312" w:cs="Tahoma"/>
          <w:color w:val="000000"/>
          <w:kern w:val="0"/>
          <w:sz w:val="32"/>
          <w:szCs w:val="32"/>
        </w:rPr>
        <w:t>)是</w:t>
      </w:r>
      <w:r>
        <w:rPr>
          <w:rFonts w:hint="eastAsia" w:ascii="仿宋_GB2312" w:hAnsi="Tahoma" w:eastAsia="仿宋_GB2312" w:cs="Tahoma"/>
          <w:color w:val="000000"/>
          <w:kern w:val="0"/>
          <w:sz w:val="32"/>
          <w:szCs w:val="32"/>
          <w:lang w:eastAsia="zh-CN"/>
        </w:rPr>
        <w:t>由</w:t>
      </w:r>
      <w:r>
        <w:rPr>
          <w:rFonts w:hint="eastAsia" w:ascii="仿宋_GB2312" w:hAnsi="Tahoma" w:eastAsia="仿宋_GB2312" w:cs="Tahoma"/>
          <w:color w:val="000000"/>
          <w:kern w:val="0"/>
          <w:sz w:val="32"/>
          <w:szCs w:val="32"/>
        </w:rPr>
        <w:t>市级财政预算安排，</w:t>
      </w:r>
      <w:r>
        <w:rPr>
          <w:rFonts w:hint="eastAsia" w:ascii="仿宋_GB2312" w:hAnsi="Tahoma" w:eastAsia="仿宋_GB2312" w:cs="Tahoma"/>
          <w:color w:val="000000"/>
          <w:kern w:val="0"/>
          <w:sz w:val="32"/>
          <w:szCs w:val="32"/>
          <w:lang w:eastAsia="zh-CN"/>
        </w:rPr>
        <w:t>用于</w:t>
      </w:r>
      <w:r>
        <w:rPr>
          <w:rFonts w:hint="eastAsia" w:ascii="Times New Roman" w:hAnsi="Times New Roman" w:eastAsia="仿宋" w:cs="Times New Roman"/>
          <w:color w:val="000000"/>
          <w:sz w:val="32"/>
          <w:szCs w:val="32"/>
          <w:lang w:val="en-US" w:eastAsia="zh-CN"/>
        </w:rPr>
        <w:t>推动长沙市建筑施工企业智能建造科技创新与新型建筑工业化发展</w:t>
      </w:r>
      <w:r>
        <w:rPr>
          <w:rFonts w:hint="eastAsia" w:ascii="Times New Roman" w:hAnsi="Times New Roman" w:eastAsia="仿宋_GB2312" w:cs="仿宋_GB2312"/>
          <w:sz w:val="32"/>
          <w:szCs w:val="32"/>
          <w:lang w:val="en-US" w:eastAsia="zh-CN"/>
        </w:rPr>
        <w:t>，</w:t>
      </w:r>
      <w:r>
        <w:rPr>
          <w:rFonts w:hint="eastAsia" w:ascii="Times New Roman" w:hAnsi="Times New Roman" w:eastAsia="仿宋" w:cs="Times New Roman"/>
          <w:color w:val="auto"/>
          <w:sz w:val="32"/>
          <w:szCs w:val="32"/>
          <w:lang w:val="en-US" w:eastAsia="zh-CN"/>
        </w:rPr>
        <w:t>开</w:t>
      </w:r>
      <w:r>
        <w:rPr>
          <w:rFonts w:hint="eastAsia" w:ascii="Times New Roman" w:hAnsi="Times New Roman" w:eastAsia="仿宋" w:cs="Times New Roman"/>
          <w:color w:val="000000"/>
          <w:sz w:val="32"/>
          <w:szCs w:val="32"/>
          <w:lang w:val="en-US" w:eastAsia="zh-CN"/>
        </w:rPr>
        <w:t>展企业智能建造数字人才培训</w:t>
      </w:r>
      <w:r>
        <w:rPr>
          <w:rFonts w:hint="eastAsia" w:ascii="Times New Roman" w:hAnsi="Times New Roman" w:eastAsia="仿宋" w:cs="Times New Roman"/>
          <w:color w:val="auto"/>
          <w:sz w:val="32"/>
          <w:szCs w:val="32"/>
          <w:lang w:val="en-US" w:eastAsia="zh-CN"/>
        </w:rPr>
        <w:t>的专项</w:t>
      </w:r>
      <w:r>
        <w:rPr>
          <w:rFonts w:hint="eastAsia" w:ascii="仿宋_GB2312" w:hAnsi="Tahoma" w:eastAsia="仿宋_GB2312" w:cs="Tahoma"/>
          <w:color w:val="auto"/>
          <w:kern w:val="0"/>
          <w:sz w:val="32"/>
          <w:szCs w:val="32"/>
        </w:rPr>
        <w:t>资金</w:t>
      </w:r>
      <w:r>
        <w:rPr>
          <w:rFonts w:hint="eastAsia" w:ascii="Times New Roman" w:hAnsi="Times New Roman" w:eastAsia="仿宋" w:cs="Times New Roman"/>
          <w:color w:val="00000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ascii="仿宋_GB2312" w:eastAsia="仿宋_GB2312"/>
          <w:sz w:val="32"/>
          <w:szCs w:val="32"/>
        </w:rPr>
      </w:pPr>
      <w:r>
        <w:rPr>
          <w:rFonts w:hint="eastAsia" w:ascii="黑体" w:hAnsi="黑体" w:eastAsia="黑体" w:cs="黑体"/>
          <w:b w:val="0"/>
          <w:bCs/>
          <w:sz w:val="32"/>
          <w:szCs w:val="32"/>
        </w:rPr>
        <w:t>第三条</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引导</w:t>
      </w:r>
      <w:r>
        <w:rPr>
          <w:rFonts w:hint="eastAsia" w:ascii="仿宋_GB2312" w:hAnsi="Tahoma" w:eastAsia="仿宋_GB2312" w:cs="Tahoma"/>
          <w:color w:val="000000"/>
          <w:kern w:val="0"/>
          <w:sz w:val="32"/>
          <w:szCs w:val="32"/>
          <w:lang w:eastAsia="zh-CN"/>
        </w:rPr>
        <w:t>奖补</w:t>
      </w:r>
      <w:r>
        <w:rPr>
          <w:rFonts w:hint="eastAsia" w:ascii="仿宋_GB2312" w:hAnsi="Tahoma" w:eastAsia="仿宋_GB2312" w:cs="Tahoma"/>
          <w:color w:val="000000"/>
          <w:kern w:val="0"/>
          <w:sz w:val="32"/>
          <w:szCs w:val="32"/>
        </w:rPr>
        <w:t>资金</w:t>
      </w:r>
      <w:r>
        <w:rPr>
          <w:rFonts w:hint="eastAsia" w:ascii="仿宋_GB2312" w:eastAsia="仿宋_GB2312"/>
          <w:sz w:val="32"/>
          <w:szCs w:val="32"/>
        </w:rPr>
        <w:t>由市住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局会同市财政局共同管理。市住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局负责</w:t>
      </w:r>
      <w:r>
        <w:rPr>
          <w:rFonts w:hint="eastAsia" w:ascii="仿宋_GB2312" w:eastAsia="仿宋_GB2312"/>
          <w:sz w:val="32"/>
          <w:szCs w:val="32"/>
          <w:lang w:eastAsia="zh-CN"/>
        </w:rPr>
        <w:t>引导奖补</w:t>
      </w:r>
      <w:r>
        <w:rPr>
          <w:rFonts w:hint="eastAsia" w:ascii="仿宋_GB2312" w:eastAsia="仿宋_GB2312"/>
          <w:sz w:val="32"/>
          <w:szCs w:val="32"/>
        </w:rPr>
        <w:t>资金的</w:t>
      </w:r>
      <w:r>
        <w:rPr>
          <w:rFonts w:hint="eastAsia" w:ascii="仿宋_GB2312" w:eastAsia="仿宋_GB2312"/>
          <w:sz w:val="32"/>
          <w:szCs w:val="32"/>
          <w:lang w:eastAsia="zh-CN"/>
        </w:rPr>
        <w:t>方案制定、</w:t>
      </w:r>
      <w:r>
        <w:rPr>
          <w:rFonts w:hint="eastAsia" w:ascii="仿宋_GB2312" w:eastAsia="仿宋_GB2312"/>
          <w:sz w:val="32"/>
          <w:szCs w:val="32"/>
        </w:rPr>
        <w:t>申报</w:t>
      </w:r>
      <w:r>
        <w:rPr>
          <w:rFonts w:hint="eastAsia" w:ascii="仿宋_GB2312" w:eastAsia="仿宋_GB2312"/>
          <w:sz w:val="32"/>
          <w:szCs w:val="32"/>
          <w:lang w:eastAsia="zh-CN"/>
        </w:rPr>
        <w:t>、</w:t>
      </w:r>
      <w:r>
        <w:rPr>
          <w:rFonts w:hint="eastAsia" w:ascii="仿宋_GB2312" w:eastAsia="仿宋_GB2312"/>
          <w:sz w:val="32"/>
          <w:szCs w:val="32"/>
        </w:rPr>
        <w:t>评</w:t>
      </w:r>
      <w:r>
        <w:rPr>
          <w:rFonts w:hint="eastAsia" w:ascii="仿宋_GB2312" w:eastAsia="仿宋_GB2312"/>
          <w:sz w:val="32"/>
          <w:szCs w:val="32"/>
          <w:lang w:eastAsia="zh-CN"/>
        </w:rPr>
        <w:t>定等；</w:t>
      </w:r>
      <w:r>
        <w:rPr>
          <w:rFonts w:hint="eastAsia" w:ascii="仿宋_GB2312" w:eastAsia="仿宋_GB2312"/>
          <w:sz w:val="32"/>
          <w:szCs w:val="32"/>
        </w:rPr>
        <w:t>市财政局负责</w:t>
      </w:r>
      <w:r>
        <w:rPr>
          <w:rFonts w:hint="eastAsia" w:ascii="仿宋_GB2312" w:eastAsia="仿宋_GB2312"/>
          <w:sz w:val="32"/>
          <w:szCs w:val="32"/>
          <w:lang w:eastAsia="zh-CN"/>
        </w:rPr>
        <w:t>引导奖补</w:t>
      </w:r>
      <w:r>
        <w:rPr>
          <w:rFonts w:hint="eastAsia" w:ascii="仿宋_GB2312" w:eastAsia="仿宋_GB2312"/>
          <w:sz w:val="32"/>
          <w:szCs w:val="32"/>
        </w:rPr>
        <w:t>资金的年度预算和拨付，会同市住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局对</w:t>
      </w:r>
      <w:r>
        <w:rPr>
          <w:rFonts w:hint="eastAsia" w:ascii="仿宋_GB2312" w:eastAsia="仿宋_GB2312"/>
          <w:sz w:val="32"/>
          <w:szCs w:val="32"/>
          <w:lang w:eastAsia="zh-CN"/>
        </w:rPr>
        <w:t>引导奖补</w:t>
      </w:r>
      <w:r>
        <w:rPr>
          <w:rFonts w:hint="eastAsia" w:ascii="仿宋_GB2312" w:eastAsia="仿宋_GB2312"/>
          <w:sz w:val="32"/>
          <w:szCs w:val="32"/>
        </w:rPr>
        <w:t>资金进行监</w:t>
      </w:r>
      <w:r>
        <w:rPr>
          <w:rFonts w:hint="eastAsia" w:ascii="仿宋_GB2312" w:eastAsia="仿宋_GB2312"/>
          <w:sz w:val="32"/>
          <w:szCs w:val="32"/>
          <w:lang w:eastAsia="zh-CN"/>
        </w:rPr>
        <w:t>管</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黑体" w:hAnsi="黑体" w:eastAsia="黑体" w:cs="黑体"/>
          <w:b w:val="0"/>
          <w:bCs/>
          <w:sz w:val="32"/>
          <w:szCs w:val="32"/>
        </w:rPr>
        <w:t>第四条</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引导</w:t>
      </w:r>
      <w:r>
        <w:rPr>
          <w:rFonts w:hint="eastAsia" w:ascii="仿宋_GB2312" w:hAnsi="Tahoma" w:eastAsia="仿宋_GB2312" w:cs="Tahoma"/>
          <w:color w:val="000000"/>
          <w:kern w:val="0"/>
          <w:sz w:val="32"/>
          <w:szCs w:val="32"/>
          <w:lang w:eastAsia="zh-CN"/>
        </w:rPr>
        <w:t>奖补</w:t>
      </w:r>
      <w:r>
        <w:rPr>
          <w:rFonts w:hint="eastAsia" w:ascii="仿宋_GB2312" w:hAnsi="Tahoma" w:eastAsia="仿宋_GB2312" w:cs="Tahoma"/>
          <w:color w:val="000000"/>
          <w:kern w:val="0"/>
          <w:sz w:val="32"/>
          <w:szCs w:val="32"/>
        </w:rPr>
        <w:t>资金</w:t>
      </w:r>
      <w:r>
        <w:rPr>
          <w:rFonts w:hint="eastAsia" w:ascii="仿宋_GB2312" w:eastAsia="仿宋_GB2312"/>
          <w:sz w:val="32"/>
          <w:szCs w:val="32"/>
        </w:rPr>
        <w:t>的使用和管理应遵守国家有关法律、法规和相关规章制度，遵循突出重点、示范引导、公开透明的原则，并接受社会监督。</w:t>
      </w:r>
    </w:p>
    <w:p>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sz w:val="32"/>
          <w:szCs w:val="32"/>
        </w:rPr>
      </w:pPr>
      <w:r>
        <w:rPr>
          <w:rFonts w:hint="eastAsia" w:ascii="黑体" w:hAnsi="黑体" w:eastAsia="黑体"/>
          <w:sz w:val="32"/>
          <w:szCs w:val="32"/>
        </w:rPr>
        <w:t>第二章  资金使用范围</w:t>
      </w:r>
    </w:p>
    <w:p>
      <w:pPr>
        <w:keepNext w:val="0"/>
        <w:keepLines w:val="0"/>
        <w:pageBreakBefore w:val="0"/>
        <w:kinsoku/>
        <w:wordWrap/>
        <w:overflowPunct/>
        <w:topLinePunct w:val="0"/>
        <w:autoSpaceDE/>
        <w:autoSpaceDN/>
        <w:bidi w:val="0"/>
        <w:adjustRightInd/>
        <w:snapToGrid/>
        <w:spacing w:line="600" w:lineRule="exact"/>
        <w:ind w:firstLine="598" w:firstLineChars="0"/>
        <w:jc w:val="left"/>
        <w:textAlignment w:val="auto"/>
        <w:rPr>
          <w:rFonts w:hint="eastAsia" w:ascii="Times New Roman" w:hAnsi="Times New Roman" w:eastAsia="仿宋" w:cs="Times New Roman"/>
          <w:color w:val="000000"/>
          <w:sz w:val="32"/>
          <w:szCs w:val="32"/>
          <w:lang w:val="en-US" w:eastAsia="zh-CN"/>
        </w:rPr>
      </w:pPr>
      <w:r>
        <w:rPr>
          <w:rFonts w:hint="eastAsia" w:ascii="黑体" w:hAnsi="黑体" w:eastAsia="黑体" w:cs="黑体"/>
          <w:b w:val="0"/>
          <w:bCs/>
          <w:sz w:val="32"/>
          <w:szCs w:val="32"/>
        </w:rPr>
        <w:t>第五条</w:t>
      </w:r>
      <w:r>
        <w:rPr>
          <w:rFonts w:hint="eastAsia" w:ascii="仿宋_GB2312" w:eastAsia="仿宋_GB2312"/>
          <w:sz w:val="32"/>
          <w:szCs w:val="32"/>
          <w:lang w:val="en-US" w:eastAsia="zh-CN"/>
        </w:rPr>
        <w:t xml:space="preserve">  </w:t>
      </w:r>
      <w:r>
        <w:rPr>
          <w:rFonts w:hint="eastAsia" w:ascii="仿宋_GB2312" w:eastAsia="仿宋_GB2312" w:cs="Times New Roman"/>
          <w:sz w:val="32"/>
          <w:szCs w:val="32"/>
          <w:lang w:eastAsia="zh-CN"/>
        </w:rPr>
        <w:t>引导</w:t>
      </w:r>
      <w:r>
        <w:rPr>
          <w:rFonts w:hint="eastAsia" w:ascii="仿宋_GB2312" w:hAnsi="Tahoma" w:eastAsia="仿宋_GB2312" w:cs="Tahoma"/>
          <w:color w:val="000000"/>
          <w:kern w:val="0"/>
          <w:sz w:val="32"/>
          <w:szCs w:val="32"/>
          <w:lang w:eastAsia="zh-CN"/>
        </w:rPr>
        <w:t>奖补</w:t>
      </w:r>
      <w:r>
        <w:rPr>
          <w:rFonts w:hint="eastAsia" w:ascii="仿宋_GB2312" w:hAnsi="Tahoma" w:eastAsia="仿宋_GB2312" w:cs="Tahoma"/>
          <w:color w:val="000000"/>
          <w:kern w:val="0"/>
          <w:sz w:val="32"/>
          <w:szCs w:val="32"/>
        </w:rPr>
        <w:t>资金</w:t>
      </w:r>
      <w:r>
        <w:rPr>
          <w:rFonts w:hint="eastAsia" w:ascii="Times New Roman" w:hAnsi="Times New Roman" w:eastAsia="仿宋" w:cs="Times New Roman"/>
          <w:color w:val="000000"/>
          <w:sz w:val="32"/>
          <w:szCs w:val="32"/>
          <w:lang w:val="en-US" w:eastAsia="zh-CN"/>
        </w:rPr>
        <w:t>主要用于推动建筑施工企业科技创新发展</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促进建筑业工业化、数字化、绿色化转型升级；</w:t>
      </w:r>
      <w:r>
        <w:rPr>
          <w:rFonts w:hint="eastAsia" w:ascii="Times New Roman" w:hAnsi="Times New Roman" w:eastAsia="仿宋" w:cs="Times New Roman"/>
          <w:color w:val="auto"/>
          <w:sz w:val="32"/>
          <w:szCs w:val="32"/>
          <w:lang w:val="en-US" w:eastAsia="zh-CN"/>
        </w:rPr>
        <w:t>用于组织开展企业智能建造平台建设，推动科技创新与产业创新深度融合，提升建筑本质安全水平；用于智能建造数字人才培训，推动知识型、技能型、创新型人才队伍建设。</w:t>
      </w:r>
    </w:p>
    <w:p>
      <w:pPr>
        <w:pStyle w:val="7"/>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Calibri" w:eastAsia="仿宋_GB2312" w:cs="Times New Roman"/>
          <w:sz w:val="32"/>
          <w:szCs w:val="32"/>
        </w:rPr>
      </w:pPr>
      <w:r>
        <w:rPr>
          <w:rFonts w:hint="eastAsia" w:ascii="黑体" w:hAnsi="黑体" w:eastAsia="黑体" w:cs="黑体"/>
          <w:b w:val="0"/>
          <w:bCs/>
          <w:kern w:val="2"/>
          <w:sz w:val="32"/>
          <w:szCs w:val="32"/>
          <w:lang w:val="en-US" w:eastAsia="zh-CN" w:bidi="ar-SA"/>
        </w:rPr>
        <w:t>第六条</w:t>
      </w:r>
      <w:r>
        <w:rPr>
          <w:rFonts w:hint="eastAsia" w:ascii="仿宋_GB2312" w:hAnsi="Calibri" w:cs="Times New Roman"/>
          <w:sz w:val="32"/>
          <w:szCs w:val="32"/>
          <w:lang w:val="en-US" w:eastAsia="zh-CN"/>
        </w:rPr>
        <w:t xml:space="preserve">  </w:t>
      </w:r>
      <w:r>
        <w:rPr>
          <w:rFonts w:hint="eastAsia" w:ascii="仿宋_GB2312" w:eastAsia="仿宋_GB2312" w:cs="Times New Roman"/>
          <w:sz w:val="32"/>
          <w:szCs w:val="32"/>
          <w:lang w:eastAsia="zh-CN"/>
        </w:rPr>
        <w:t>引导</w:t>
      </w:r>
      <w:r>
        <w:rPr>
          <w:rFonts w:hint="eastAsia" w:ascii="仿宋_GB2312" w:hAnsi="Tahoma" w:eastAsia="仿宋_GB2312" w:cs="Tahoma"/>
          <w:color w:val="000000"/>
          <w:kern w:val="0"/>
          <w:sz w:val="32"/>
          <w:szCs w:val="32"/>
        </w:rPr>
        <w:t>资</w:t>
      </w:r>
      <w:r>
        <w:rPr>
          <w:rFonts w:hint="eastAsia" w:ascii="仿宋_GB2312" w:hAnsi="Tahoma" w:cs="Tahoma"/>
          <w:color w:val="000000"/>
          <w:kern w:val="0"/>
          <w:sz w:val="32"/>
          <w:szCs w:val="32"/>
          <w:lang w:eastAsia="zh-CN"/>
        </w:rPr>
        <w:t>金奖补的企业</w:t>
      </w:r>
      <w:r>
        <w:rPr>
          <w:rFonts w:hint="eastAsia" w:ascii="Times New Roman" w:hAnsi="Times New Roman" w:cs="仿宋_GB2312"/>
          <w:sz w:val="32"/>
          <w:szCs w:val="32"/>
          <w:lang w:val="en-US" w:eastAsia="zh-CN"/>
        </w:rPr>
        <w:t>在评选年度内，在长沙市应有在建项目或工地；企业在绿色工地建设、智能建造和装配式建造等方面成效显著。</w:t>
      </w:r>
      <w:r>
        <w:rPr>
          <w:rFonts w:hint="eastAsia" w:ascii="仿宋" w:hAnsi="仿宋" w:eastAsia="仿宋" w:cs="仿宋"/>
          <w:sz w:val="32"/>
          <w:szCs w:val="32"/>
          <w:lang w:val="en-US" w:eastAsia="zh-CN"/>
        </w:rPr>
        <w:t>按照</w:t>
      </w:r>
      <w:r>
        <w:rPr>
          <w:rFonts w:hint="eastAsia" w:ascii="仿宋" w:hAnsi="仿宋" w:eastAsia="仿宋" w:cs="仿宋"/>
          <w:sz w:val="32"/>
          <w:szCs w:val="32"/>
        </w:rPr>
        <w:t>企业科技创新核心竞争力建设</w:t>
      </w:r>
      <w:r>
        <w:rPr>
          <w:rFonts w:hint="eastAsia" w:ascii="仿宋" w:hAnsi="仿宋" w:eastAsia="仿宋" w:cs="仿宋"/>
          <w:sz w:val="32"/>
          <w:szCs w:val="32"/>
          <w:lang w:eastAsia="zh-CN"/>
        </w:rPr>
        <w:t>、</w:t>
      </w:r>
      <w:r>
        <w:rPr>
          <w:rFonts w:hint="eastAsia" w:ascii="仿宋" w:hAnsi="仿宋" w:eastAsia="仿宋" w:cs="仿宋"/>
          <w:sz w:val="32"/>
          <w:szCs w:val="32"/>
        </w:rPr>
        <w:t>专门机构设置年度投入</w:t>
      </w:r>
      <w:r>
        <w:rPr>
          <w:rFonts w:hint="eastAsia" w:ascii="仿宋" w:hAnsi="仿宋" w:eastAsia="仿宋" w:cs="仿宋"/>
          <w:sz w:val="32"/>
          <w:szCs w:val="32"/>
          <w:lang w:eastAsia="zh-CN"/>
        </w:rPr>
        <w:t>情况占</w:t>
      </w:r>
      <w:r>
        <w:rPr>
          <w:rFonts w:hint="eastAsia" w:ascii="仿宋" w:hAnsi="仿宋" w:eastAsia="仿宋" w:cs="仿宋"/>
          <w:sz w:val="32"/>
          <w:szCs w:val="32"/>
          <w:lang w:val="en-US" w:eastAsia="zh-CN"/>
        </w:rPr>
        <w:t>4</w:t>
      </w:r>
      <w:r>
        <w:rPr>
          <w:rFonts w:hint="eastAsia" w:ascii="仿宋" w:hAnsi="仿宋" w:eastAsia="仿宋" w:cs="仿宋"/>
          <w:sz w:val="32"/>
          <w:szCs w:val="32"/>
        </w:rPr>
        <w:t>0分</w:t>
      </w:r>
      <w:r>
        <w:rPr>
          <w:rFonts w:hint="eastAsia" w:ascii="仿宋" w:hAnsi="仿宋" w:eastAsia="仿宋" w:cs="仿宋"/>
          <w:sz w:val="32"/>
          <w:szCs w:val="32"/>
          <w:lang w:val="en-US" w:eastAsia="zh-CN"/>
        </w:rPr>
        <w:t>，</w:t>
      </w:r>
      <w:r>
        <w:rPr>
          <w:rFonts w:hint="eastAsia" w:ascii="仿宋" w:hAnsi="仿宋" w:eastAsia="仿宋" w:cs="仿宋"/>
          <w:color w:val="auto"/>
          <w:sz w:val="32"/>
          <w:szCs w:val="32"/>
        </w:rPr>
        <w:t>数智工地安全建设</w:t>
      </w:r>
      <w:r>
        <w:rPr>
          <w:rFonts w:hint="eastAsia" w:ascii="仿宋" w:hAnsi="仿宋" w:eastAsia="仿宋" w:cs="仿宋"/>
          <w:color w:val="auto"/>
          <w:sz w:val="32"/>
          <w:szCs w:val="32"/>
          <w:lang w:eastAsia="zh-CN"/>
        </w:rPr>
        <w:t>标准</w:t>
      </w:r>
      <w:r>
        <w:rPr>
          <w:rFonts w:hint="eastAsia" w:ascii="仿宋" w:hAnsi="仿宋" w:eastAsia="仿宋" w:cs="仿宋"/>
          <w:color w:val="auto"/>
          <w:sz w:val="32"/>
          <w:szCs w:val="32"/>
        </w:rPr>
        <w:t>与层级</w:t>
      </w:r>
      <w:r>
        <w:rPr>
          <w:rFonts w:hint="eastAsia" w:ascii="仿宋" w:hAnsi="仿宋" w:eastAsia="仿宋" w:cs="仿宋"/>
          <w:color w:val="auto"/>
          <w:sz w:val="32"/>
          <w:szCs w:val="32"/>
          <w:lang w:eastAsia="zh-CN"/>
        </w:rPr>
        <w:t>占</w:t>
      </w:r>
      <w:r>
        <w:rPr>
          <w:rFonts w:hint="eastAsia" w:ascii="仿宋" w:hAnsi="仿宋" w:eastAsia="仿宋" w:cs="仿宋"/>
          <w:color w:val="auto"/>
          <w:sz w:val="32"/>
          <w:szCs w:val="32"/>
          <w:lang w:val="en-US" w:eastAsia="zh-CN"/>
        </w:rPr>
        <w:t>20分，建筑工地现场智能安全管理</w:t>
      </w:r>
      <w:r>
        <w:rPr>
          <w:rFonts w:hint="eastAsia" w:ascii="Times New Roman" w:hAnsi="Times New Roman" w:eastAsia="仿宋_GB2312" w:cs="仿宋_GB2312"/>
          <w:color w:val="auto"/>
          <w:sz w:val="32"/>
          <w:szCs w:val="32"/>
          <w:lang w:val="en-US" w:eastAsia="zh-CN"/>
        </w:rPr>
        <w:t>占</w:t>
      </w:r>
      <w:r>
        <w:rPr>
          <w:rFonts w:hint="eastAsia" w:ascii="仿宋" w:hAnsi="仿宋" w:eastAsia="仿宋" w:cs="仿宋"/>
          <w:color w:val="auto"/>
          <w:sz w:val="32"/>
          <w:szCs w:val="32"/>
          <w:lang w:val="en-US" w:eastAsia="zh-CN"/>
        </w:rPr>
        <w:t>20</w:t>
      </w:r>
      <w:r>
        <w:rPr>
          <w:rFonts w:hint="eastAsia" w:ascii="Times New Roman" w:hAnsi="Times New Roman" w:eastAsia="仿宋_GB2312" w:cs="仿宋_GB2312"/>
          <w:color w:val="auto"/>
          <w:sz w:val="32"/>
          <w:szCs w:val="32"/>
          <w:lang w:val="en-US" w:eastAsia="zh-CN"/>
        </w:rPr>
        <w:t>分</w:t>
      </w:r>
      <w:r>
        <w:rPr>
          <w:rFonts w:hint="eastAsia" w:ascii="Times New Roman" w:hAnsi="Times New Roman" w:cs="仿宋_GB2312"/>
          <w:color w:val="auto"/>
          <w:sz w:val="32"/>
          <w:szCs w:val="32"/>
          <w:lang w:val="en-US" w:eastAsia="zh-CN"/>
        </w:rPr>
        <w:t>，</w:t>
      </w:r>
      <w:r>
        <w:rPr>
          <w:rFonts w:hint="eastAsia" w:ascii="仿宋" w:hAnsi="仿宋" w:eastAsia="仿宋" w:cs="仿宋"/>
          <w:sz w:val="32"/>
          <w:szCs w:val="32"/>
        </w:rPr>
        <w:t>智能建造与新型建筑工业化“新十大员”配备</w:t>
      </w:r>
      <w:r>
        <w:rPr>
          <w:rFonts w:hint="eastAsia" w:ascii="仿宋" w:hAnsi="仿宋" w:eastAsia="仿宋" w:cs="仿宋"/>
          <w:sz w:val="32"/>
          <w:szCs w:val="32"/>
          <w:lang w:eastAsia="zh-CN"/>
        </w:rPr>
        <w:t>占</w:t>
      </w:r>
      <w:r>
        <w:rPr>
          <w:rFonts w:hint="eastAsia" w:ascii="仿宋" w:hAnsi="仿宋" w:eastAsia="仿宋" w:cs="仿宋"/>
          <w:sz w:val="32"/>
          <w:szCs w:val="32"/>
          <w:lang w:val="en-US" w:eastAsia="zh-CN"/>
        </w:rPr>
        <w:t>20分（</w:t>
      </w:r>
      <w:r>
        <w:rPr>
          <w:rFonts w:hint="eastAsia" w:ascii="Times New Roman" w:hAnsi="Times New Roman" w:eastAsia="仿宋_GB2312" w:cs="仿宋_GB2312"/>
          <w:sz w:val="32"/>
          <w:szCs w:val="32"/>
          <w:lang w:val="en-US" w:eastAsia="zh-CN"/>
        </w:rPr>
        <w:t>总分</w:t>
      </w:r>
      <w:r>
        <w:rPr>
          <w:rFonts w:hint="eastAsia" w:ascii="仿宋" w:hAnsi="仿宋" w:eastAsia="仿宋" w:cs="仿宋"/>
          <w:sz w:val="32"/>
          <w:szCs w:val="32"/>
          <w:lang w:val="en-US" w:eastAsia="zh-CN"/>
        </w:rPr>
        <w:t>100</w:t>
      </w:r>
      <w:r>
        <w:rPr>
          <w:rFonts w:hint="eastAsia" w:ascii="Times New Roman" w:hAnsi="Times New Roman" w:eastAsia="仿宋_GB2312" w:cs="仿宋_GB2312"/>
          <w:sz w:val="32"/>
          <w:szCs w:val="32"/>
          <w:lang w:val="en-US" w:eastAsia="zh-CN"/>
        </w:rPr>
        <w:t>分</w:t>
      </w:r>
      <w:r>
        <w:rPr>
          <w:rFonts w:hint="eastAsia" w:ascii="Times New Roman" w:hAnsi="Times New Roman" w:cs="仿宋_GB2312"/>
          <w:sz w:val="32"/>
          <w:szCs w:val="32"/>
          <w:lang w:val="en-US" w:eastAsia="zh-CN"/>
        </w:rPr>
        <w:t>）</w:t>
      </w:r>
      <w:r>
        <w:rPr>
          <w:rFonts w:hint="eastAsia" w:ascii="Times New Roman" w:hAnsi="Times New Roman" w:eastAsia="仿宋_GB2312" w:cs="仿宋_GB2312"/>
          <w:sz w:val="32"/>
          <w:szCs w:val="32"/>
          <w:lang w:val="en-US" w:eastAsia="zh-CN"/>
        </w:rPr>
        <w:t>，对申报企业进行综合评定，</w:t>
      </w:r>
      <w:r>
        <w:rPr>
          <w:rFonts w:hint="eastAsia" w:ascii="Times New Roman" w:hAnsi="Times New Roman" w:eastAsia="仿宋_GB2312" w:cs="仿宋_GB2312"/>
          <w:sz w:val="32"/>
          <w:szCs w:val="32"/>
          <w:lang w:eastAsia="zh-CN"/>
        </w:rPr>
        <w:t>区分档次确定引导</w:t>
      </w:r>
      <w:r>
        <w:rPr>
          <w:rFonts w:hint="eastAsia" w:ascii="Times New Roman" w:hAnsi="Times New Roman" w:cs="仿宋_GB2312"/>
          <w:sz w:val="32"/>
          <w:szCs w:val="32"/>
          <w:lang w:eastAsia="zh-CN"/>
        </w:rPr>
        <w:t>奖补</w:t>
      </w:r>
      <w:r>
        <w:rPr>
          <w:rFonts w:hint="eastAsia" w:ascii="Times New Roman" w:hAnsi="Times New Roman" w:eastAsia="仿宋_GB2312" w:cs="仿宋_GB2312"/>
          <w:sz w:val="32"/>
          <w:szCs w:val="32"/>
          <w:lang w:eastAsia="zh-CN"/>
        </w:rPr>
        <w:t>资金</w:t>
      </w:r>
      <w:r>
        <w:rPr>
          <w:rFonts w:hint="eastAsia" w:ascii="Times New Roman" w:hAnsi="Times New Roman" w:cs="仿宋_GB2312"/>
          <w:sz w:val="32"/>
          <w:szCs w:val="32"/>
          <w:lang w:eastAsia="zh-CN"/>
        </w:rPr>
        <w:t>支持</w:t>
      </w:r>
      <w:r>
        <w:rPr>
          <w:rFonts w:hint="eastAsia" w:ascii="Times New Roman" w:hAnsi="Times New Roman" w:eastAsia="仿宋_GB2312" w:cs="仿宋_GB2312"/>
          <w:sz w:val="32"/>
          <w:szCs w:val="32"/>
          <w:lang w:val="en-US" w:eastAsia="zh-CN"/>
        </w:rPr>
        <w:t>标准</w:t>
      </w:r>
      <w:r>
        <w:rPr>
          <w:rFonts w:hint="eastAsia" w:ascii="Times New Roman" w:hAnsi="Times New Roman" w:cs="仿宋_GB2312"/>
          <w:sz w:val="32"/>
          <w:szCs w:val="32"/>
          <w:lang w:val="en-US" w:eastAsia="zh-CN"/>
        </w:rPr>
        <w:t>。</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（一）企业科技创新核心竞争力建设与专门机构设置及年度投入（40分）</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仿宋" w:hAnsi="仿宋" w:eastAsia="仿宋" w:cs="仿宋"/>
          <w:sz w:val="32"/>
          <w:szCs w:val="32"/>
          <w:lang w:val="en-US" w:eastAsia="zh-CN"/>
        </w:rPr>
      </w:pPr>
      <w:r>
        <w:rPr>
          <w:rFonts w:hint="eastAsia" w:ascii="仿宋" w:hAnsi="仿宋" w:eastAsia="仿宋" w:cs="仿宋"/>
          <w:b/>
          <w:bCs/>
          <w:kern w:val="2"/>
          <w:sz w:val="32"/>
          <w:szCs w:val="32"/>
          <w:lang w:val="en-US" w:eastAsia="zh-CN" w:bidi="ar-SA"/>
        </w:rPr>
        <w:t>1.核心竞争力建设（20分）。</w:t>
      </w:r>
      <w:r>
        <w:rPr>
          <w:rFonts w:hint="eastAsia" w:ascii="仿宋" w:hAnsi="仿宋" w:eastAsia="仿宋" w:cs="仿宋"/>
          <w:sz w:val="32"/>
          <w:szCs w:val="32"/>
          <w:lang w:val="en-US" w:eastAsia="zh-CN"/>
        </w:rPr>
        <w:t>企业在建筑设计、施工技术、材料研发等方面取得创新成果的（包括专利、工法等），每项次加1分，最高得4分；熟悉应用物联网技术、人工智能、BIM等新技术提高施工管理水平的，每项次加1分，最高得5分；利用绿色建造、智能建造、装配式建造等新技术，有效实现了节约资源、低碳环保、资源利用等的，其中</w:t>
      </w:r>
      <w:r>
        <w:rPr>
          <w:rFonts w:hint="eastAsia" w:ascii="仿宋" w:hAnsi="仿宋" w:eastAsia="仿宋" w:cs="仿宋"/>
          <w:sz w:val="32"/>
          <w:szCs w:val="32"/>
        </w:rPr>
        <w:t>施工项目达到一星级</w:t>
      </w:r>
      <w:r>
        <w:rPr>
          <w:rFonts w:hint="eastAsia" w:ascii="仿宋" w:hAnsi="仿宋" w:eastAsia="仿宋" w:cs="仿宋"/>
          <w:sz w:val="32"/>
          <w:szCs w:val="32"/>
          <w:lang w:eastAsia="zh-CN"/>
        </w:rPr>
        <w:t>、</w:t>
      </w:r>
      <w:r>
        <w:rPr>
          <w:rFonts w:hint="eastAsia" w:ascii="仿宋" w:hAnsi="仿宋" w:eastAsia="仿宋" w:cs="仿宋"/>
          <w:sz w:val="32"/>
          <w:szCs w:val="32"/>
        </w:rPr>
        <w:t>二星级</w:t>
      </w:r>
      <w:r>
        <w:rPr>
          <w:rFonts w:hint="eastAsia" w:ascii="仿宋" w:hAnsi="仿宋" w:eastAsia="仿宋" w:cs="仿宋"/>
          <w:sz w:val="32"/>
          <w:szCs w:val="32"/>
          <w:lang w:eastAsia="zh-CN"/>
        </w:rPr>
        <w:t>、</w:t>
      </w:r>
      <w:r>
        <w:rPr>
          <w:rFonts w:hint="eastAsia" w:ascii="仿宋" w:hAnsi="仿宋" w:eastAsia="仿宋" w:cs="仿宋"/>
          <w:sz w:val="32"/>
          <w:szCs w:val="32"/>
        </w:rPr>
        <w:t>三星级绿色建筑的</w:t>
      </w:r>
      <w:r>
        <w:rPr>
          <w:rFonts w:hint="eastAsia" w:ascii="仿宋" w:hAnsi="仿宋" w:eastAsia="仿宋" w:cs="仿宋"/>
          <w:sz w:val="32"/>
          <w:szCs w:val="32"/>
          <w:lang w:eastAsia="zh-CN"/>
        </w:rPr>
        <w:t>，每项次分别</w:t>
      </w:r>
      <w:r>
        <w:rPr>
          <w:rFonts w:hint="eastAsia" w:ascii="仿宋" w:hAnsi="仿宋" w:eastAsia="仿宋" w:cs="仿宋"/>
          <w:sz w:val="32"/>
          <w:szCs w:val="32"/>
        </w:rPr>
        <w:t>得</w:t>
      </w:r>
      <w:r>
        <w:rPr>
          <w:rFonts w:hint="eastAsia" w:ascii="仿宋" w:hAnsi="仿宋" w:eastAsia="仿宋" w:cs="仿宋"/>
          <w:sz w:val="32"/>
          <w:szCs w:val="32"/>
          <w:lang w:val="en-US" w:eastAsia="zh-CN"/>
        </w:rPr>
        <w:t>0.5</w:t>
      </w:r>
      <w:r>
        <w:rPr>
          <w:rFonts w:hint="eastAsia" w:ascii="仿宋" w:hAnsi="仿宋" w:eastAsia="仿宋" w:cs="仿宋"/>
          <w:sz w:val="32"/>
          <w:szCs w:val="32"/>
        </w:rPr>
        <w:t>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rPr>
        <w:t>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1.5分，累计</w:t>
      </w:r>
      <w:r>
        <w:rPr>
          <w:rFonts w:hint="eastAsia" w:ascii="仿宋" w:hAnsi="仿宋" w:eastAsia="仿宋" w:cs="仿宋"/>
          <w:sz w:val="32"/>
          <w:szCs w:val="32"/>
          <w:lang w:eastAsia="zh-CN"/>
        </w:rPr>
        <w:t>不超过</w:t>
      </w:r>
      <w:r>
        <w:rPr>
          <w:rFonts w:hint="eastAsia" w:ascii="仿宋" w:hAnsi="仿宋" w:eastAsia="仿宋" w:cs="仿宋"/>
          <w:sz w:val="32"/>
          <w:szCs w:val="32"/>
          <w:lang w:val="en-US" w:eastAsia="zh-CN"/>
        </w:rPr>
        <w:t>4</w:t>
      </w:r>
      <w:r>
        <w:rPr>
          <w:rFonts w:hint="eastAsia" w:ascii="仿宋" w:hAnsi="仿宋" w:eastAsia="仿宋" w:cs="仿宋"/>
          <w:sz w:val="32"/>
          <w:szCs w:val="32"/>
        </w:rPr>
        <w:t>分</w:t>
      </w:r>
      <w:r>
        <w:rPr>
          <w:rFonts w:hint="eastAsia" w:ascii="仿宋" w:hAnsi="仿宋" w:eastAsia="仿宋" w:cs="仿宋"/>
          <w:sz w:val="32"/>
          <w:szCs w:val="32"/>
          <w:lang w:eastAsia="zh-CN"/>
        </w:rPr>
        <w:t>；项目获评</w:t>
      </w:r>
      <w:r>
        <w:rPr>
          <w:rFonts w:hint="eastAsia" w:ascii="仿宋_GB2312" w:hAnsi="仿宋_GB2312" w:eastAsia="仿宋_GB2312" w:cs="仿宋_GB2312"/>
          <w:sz w:val="32"/>
          <w:szCs w:val="32"/>
          <w:highlight w:val="none"/>
          <w:lang w:val="en-US" w:eastAsia="zh-CN"/>
        </w:rPr>
        <w:t>绿色示范工地每项次得0.2分，智能建造观摩工地每项次得0.5分，累计不超过2分；</w:t>
      </w:r>
      <w:r>
        <w:rPr>
          <w:rFonts w:hint="eastAsia" w:ascii="仿宋" w:hAnsi="仿宋" w:eastAsia="仿宋" w:cs="仿宋"/>
          <w:sz w:val="32"/>
          <w:szCs w:val="32"/>
        </w:rPr>
        <w:t>项目获评市</w:t>
      </w:r>
      <w:r>
        <w:rPr>
          <w:rFonts w:hint="eastAsia" w:ascii="仿宋_GB2312" w:eastAsia="仿宋_GB2312"/>
          <w:sz w:val="32"/>
          <w:szCs w:val="32"/>
        </w:rPr>
        <w:t>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w:t>
      </w:r>
      <w:r>
        <w:rPr>
          <w:rFonts w:hint="eastAsia" w:ascii="仿宋" w:hAnsi="仿宋" w:eastAsia="仿宋" w:cs="仿宋"/>
          <w:sz w:val="32"/>
          <w:szCs w:val="32"/>
        </w:rPr>
        <w:t>智能建造试点项目</w:t>
      </w:r>
      <w:r>
        <w:rPr>
          <w:rFonts w:hint="eastAsia" w:ascii="仿宋" w:hAnsi="仿宋" w:eastAsia="仿宋" w:cs="仿宋"/>
          <w:sz w:val="32"/>
          <w:szCs w:val="32"/>
          <w:lang w:eastAsia="zh-CN"/>
        </w:rPr>
        <w:t>的每</w:t>
      </w:r>
      <w:r>
        <w:rPr>
          <w:rFonts w:hint="eastAsia" w:ascii="仿宋" w:hAnsi="仿宋" w:eastAsia="仿宋" w:cs="仿宋"/>
          <w:sz w:val="32"/>
          <w:szCs w:val="32"/>
        </w:rPr>
        <w:t>个加</w:t>
      </w:r>
      <w:r>
        <w:rPr>
          <w:rFonts w:hint="eastAsia" w:ascii="仿宋" w:hAnsi="仿宋" w:eastAsia="仿宋" w:cs="仿宋"/>
          <w:sz w:val="32"/>
          <w:szCs w:val="32"/>
          <w:lang w:val="en-US" w:eastAsia="zh-CN"/>
        </w:rPr>
        <w:t>1</w:t>
      </w:r>
      <w:r>
        <w:rPr>
          <w:rFonts w:hint="eastAsia" w:ascii="仿宋" w:hAnsi="仿宋" w:eastAsia="仿宋" w:cs="仿宋"/>
          <w:sz w:val="32"/>
          <w:szCs w:val="32"/>
        </w:rPr>
        <w:t>分</w:t>
      </w:r>
      <w:r>
        <w:rPr>
          <w:rFonts w:hint="eastAsia" w:ascii="仿宋" w:hAnsi="仿宋" w:eastAsia="仿宋" w:cs="仿宋"/>
          <w:sz w:val="32"/>
          <w:szCs w:val="32"/>
          <w:lang w:eastAsia="zh-CN"/>
        </w:rPr>
        <w:t>，获评全市住房城乡建设领域“揭榜挂帅”项目的每个加</w:t>
      </w:r>
      <w:r>
        <w:rPr>
          <w:rFonts w:hint="eastAsia" w:ascii="仿宋" w:hAnsi="仿宋" w:eastAsia="仿宋" w:cs="仿宋"/>
          <w:sz w:val="32"/>
          <w:szCs w:val="32"/>
          <w:lang w:val="en-US" w:eastAsia="zh-CN"/>
        </w:rPr>
        <w:t>1.5</w:t>
      </w:r>
      <w:r>
        <w:rPr>
          <w:rFonts w:hint="eastAsia" w:ascii="仿宋" w:hAnsi="仿宋" w:eastAsia="仿宋" w:cs="仿宋"/>
          <w:sz w:val="32"/>
          <w:szCs w:val="32"/>
        </w:rPr>
        <w:t>分</w:t>
      </w:r>
      <w:r>
        <w:rPr>
          <w:rFonts w:hint="eastAsia" w:ascii="仿宋" w:hAnsi="仿宋" w:eastAsia="仿宋" w:cs="仿宋"/>
          <w:sz w:val="32"/>
          <w:szCs w:val="32"/>
          <w:lang w:eastAsia="zh-CN"/>
        </w:rPr>
        <w:t>，获评“橘洲杯”表彰项目的每个加</w:t>
      </w:r>
      <w:r>
        <w:rPr>
          <w:rFonts w:hint="eastAsia" w:ascii="仿宋" w:hAnsi="仿宋" w:eastAsia="仿宋" w:cs="仿宋"/>
          <w:sz w:val="32"/>
          <w:szCs w:val="32"/>
          <w:lang w:val="en-US" w:eastAsia="zh-CN"/>
        </w:rPr>
        <w:t>0.5分</w:t>
      </w:r>
      <w:r>
        <w:rPr>
          <w:rFonts w:hint="eastAsia" w:ascii="仿宋" w:hAnsi="仿宋" w:eastAsia="仿宋" w:cs="仿宋"/>
          <w:sz w:val="32"/>
          <w:szCs w:val="32"/>
          <w:lang w:eastAsia="zh-CN"/>
        </w:rPr>
        <w:t>，累计不超过</w:t>
      </w:r>
      <w:r>
        <w:rPr>
          <w:rFonts w:hint="eastAsia" w:ascii="仿宋" w:hAnsi="仿宋" w:eastAsia="仿宋" w:cs="仿宋"/>
          <w:sz w:val="32"/>
          <w:szCs w:val="32"/>
          <w:lang w:val="en-US" w:eastAsia="zh-CN"/>
        </w:rPr>
        <w:t>5分。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b/>
          <w:bCs/>
          <w:sz w:val="32"/>
          <w:szCs w:val="32"/>
          <w:lang w:val="en-US" w:eastAsia="zh-CN"/>
        </w:rPr>
        <w:t>专门机构设置（15分）。</w:t>
      </w:r>
      <w:r>
        <w:rPr>
          <w:rFonts w:hint="eastAsia" w:ascii="仿宋" w:hAnsi="仿宋" w:eastAsia="仿宋" w:cs="仿宋"/>
          <w:sz w:val="32"/>
          <w:szCs w:val="32"/>
          <w:lang w:val="en-US" w:eastAsia="zh-CN"/>
        </w:rPr>
        <w:t>企业设有科技创新研发中心（研究院）或技术中心等的得8分，没有的不得分；企业研发人员配备20人以上（或占企业在编人数的3%）的得7分，少于20人（或占企业在编人数低于3%）的，每少1人</w:t>
      </w:r>
      <w:r>
        <w:rPr>
          <w:rFonts w:hint="eastAsia" w:ascii="仿宋" w:hAnsi="仿宋" w:eastAsia="仿宋" w:cs="仿宋"/>
          <w:color w:val="auto"/>
          <w:sz w:val="32"/>
          <w:szCs w:val="32"/>
          <w:lang w:val="en-US" w:eastAsia="zh-CN"/>
        </w:rPr>
        <w:t>（每低于0.35%），</w:t>
      </w:r>
      <w:r>
        <w:rPr>
          <w:rFonts w:hint="eastAsia" w:ascii="仿宋" w:hAnsi="仿宋" w:eastAsia="仿宋" w:cs="仿宋"/>
          <w:sz w:val="32"/>
          <w:szCs w:val="32"/>
          <w:lang w:val="en-US" w:eastAsia="zh-CN"/>
        </w:rPr>
        <w:t>减0.35分，扣完为止。</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rPr>
          <w:rFonts w:hint="eastAsia" w:ascii="仿宋" w:hAnsi="仿宋" w:eastAsia="仿宋" w:cs="仿宋"/>
          <w:color w:val="000000"/>
          <w:sz w:val="32"/>
          <w:szCs w:val="32"/>
          <w:lang w:val="en-US" w:eastAsia="zh-CN"/>
        </w:rPr>
      </w:pPr>
      <w:r>
        <w:rPr>
          <w:rFonts w:hint="eastAsia" w:ascii="仿宋" w:hAnsi="仿宋" w:eastAsia="仿宋" w:cs="仿宋"/>
          <w:b/>
          <w:bCs/>
          <w:color w:val="000000"/>
          <w:sz w:val="32"/>
          <w:szCs w:val="32"/>
          <w:lang w:val="en-US" w:eastAsia="zh-CN"/>
        </w:rPr>
        <w:t>3.年度经费投入（5分）。</w:t>
      </w:r>
      <w:r>
        <w:rPr>
          <w:rFonts w:hint="eastAsia" w:ascii="仿宋" w:hAnsi="仿宋" w:eastAsia="仿宋" w:cs="仿宋"/>
          <w:color w:val="000000"/>
          <w:sz w:val="32"/>
          <w:szCs w:val="32"/>
          <w:lang w:val="en-US" w:eastAsia="zh-CN"/>
        </w:rPr>
        <w:t>年度科研经费投入1000万（或投入占当年营业收入0.2%的）得3分，经费投入每增加100万元（或当年营业收入每增加0.02%的）加0.1分，最高得5分，少于1000万元（或投入低于当年营业收入0.2%的）的不得分。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（二）数智工地安全建设标准与层级（20分）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1.数智工地建设（15分）</w:t>
      </w:r>
      <w:r>
        <w:rPr>
          <w:rFonts w:hint="eastAsia" w:ascii="仿宋" w:hAnsi="仿宋" w:eastAsia="仿宋" w:cs="仿宋"/>
          <w:sz w:val="32"/>
          <w:szCs w:val="32"/>
          <w:lang w:val="en-US" w:eastAsia="zh-CN"/>
        </w:rPr>
        <w:t>。企业在长沙地区所承接的建设项目均达到“基础级”数智工地建设标准的得10分，未全数达到的不得分；企业在长沙地区所承接的建设项目达到“加强级”数智工地建设标准的，每个项目加1分，达到“强化级”数智工地建设标准的，每个项目加2分，累计不超过5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2.数字化管理平台建设（5分）</w:t>
      </w:r>
      <w:r>
        <w:rPr>
          <w:rFonts w:hint="eastAsia" w:ascii="仿宋" w:hAnsi="仿宋" w:eastAsia="仿宋" w:cs="仿宋"/>
          <w:color w:val="auto"/>
          <w:sz w:val="32"/>
          <w:szCs w:val="32"/>
          <w:lang w:val="en-US" w:eastAsia="zh-CN"/>
        </w:rPr>
        <w:t>。企业应在项目开工1个月内完成数字化管理平台的搭建，并依据现场进度逐步开展智慧工地场景建设，完成相应的设备部署和数据采集的得5分，未完成的不得分。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（三）建筑工地现场智能安全管理（20分）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sz w:val="32"/>
          <w:szCs w:val="32"/>
          <w:lang w:val="en-US" w:eastAsia="zh-CN"/>
        </w:rPr>
        <w:t>1.安全生产检查记录仪配备及使用（10分）。</w:t>
      </w:r>
      <w:r>
        <w:rPr>
          <w:rFonts w:hint="eastAsia" w:ascii="仿宋" w:hAnsi="仿宋" w:eastAsia="仿宋" w:cs="仿宋"/>
          <w:sz w:val="32"/>
          <w:szCs w:val="32"/>
          <w:lang w:val="en-US" w:eastAsia="zh-CN"/>
        </w:rPr>
        <w:t>企业在长沙地区所承接的建设项目，均配备并有效使用1台及以上的安全生产检查记录仪的得8分，未全数达到的不得分；企业在长沙地区所承接的建设项目，所有专职安全员均配备并有效使用安全生产检查记录仪，视频资料留档保存6个月以上的得10分，未全数配备的不得分，全数配备但未有</w:t>
      </w:r>
      <w:r>
        <w:rPr>
          <w:rFonts w:hint="eastAsia" w:ascii="仿宋" w:hAnsi="仿宋" w:eastAsia="仿宋" w:cs="仿宋"/>
          <w:color w:val="auto"/>
          <w:sz w:val="32"/>
          <w:szCs w:val="32"/>
          <w:lang w:val="en-US" w:eastAsia="zh-CN"/>
        </w:rPr>
        <w:t>效使用的，每发现1人次扣2分。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2.智能设备使用（10分）。</w:t>
      </w:r>
      <w:r>
        <w:rPr>
          <w:rFonts w:hint="eastAsia" w:ascii="仿宋" w:hAnsi="仿宋" w:eastAsia="仿宋" w:cs="仿宋"/>
          <w:sz w:val="32"/>
          <w:szCs w:val="32"/>
          <w:lang w:val="en-US" w:eastAsia="zh-CN"/>
        </w:rPr>
        <w:t>企业在长沙地区所承接的建设项目，配备并使用巡检机器人、建筑起重机械设备监控系统（塔吊、施工升降机）、深基坑监测系统等智能设施设备的，</w:t>
      </w:r>
      <w:r>
        <w:rPr>
          <w:rFonts w:hint="eastAsia" w:ascii="仿宋" w:hAnsi="仿宋" w:eastAsia="仿宋" w:cs="仿宋"/>
          <w:color w:val="auto"/>
          <w:sz w:val="32"/>
          <w:szCs w:val="32"/>
          <w:lang w:val="en-US" w:eastAsia="zh-CN"/>
        </w:rPr>
        <w:t>每项次得0.2分，</w:t>
      </w:r>
      <w:r>
        <w:rPr>
          <w:rFonts w:hint="eastAsia" w:ascii="仿宋" w:hAnsi="仿宋" w:eastAsia="仿宋" w:cs="仿宋"/>
          <w:sz w:val="32"/>
          <w:szCs w:val="32"/>
          <w:lang w:val="en-US" w:eastAsia="zh-CN"/>
        </w:rPr>
        <w:t>累计不超过10分。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（四）智能建造与新型建筑工业化“新十大员”配备（20分）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1.“新十大员”配备（5分）。</w:t>
      </w:r>
      <w:r>
        <w:rPr>
          <w:rFonts w:hint="eastAsia" w:ascii="仿宋" w:hAnsi="仿宋" w:eastAsia="仿宋" w:cs="仿宋"/>
          <w:sz w:val="32"/>
          <w:szCs w:val="32"/>
          <w:lang w:val="en-US" w:eastAsia="zh-CN"/>
        </w:rPr>
        <w:t>企业要在相匹配的部门和岗位合理配备“新十大员”并参加长沙市智能建造“211”数智人才培训的得5分。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2.数智人才培训（10分）</w:t>
      </w:r>
      <w:r>
        <w:rPr>
          <w:rFonts w:hint="eastAsia" w:ascii="仿宋" w:hAnsi="仿宋" w:eastAsia="仿宋" w:cs="仿宋"/>
          <w:sz w:val="32"/>
          <w:szCs w:val="32"/>
          <w:lang w:val="en-US" w:eastAsia="zh-CN"/>
        </w:rPr>
        <w:t>。企业每取得一本与岗位有效匹配的“211”数智人才培训合格证书的得0.2分，最高不超过8分；项目施工现场每配备一名与岗位匹配并取得“211”数智人才培训合格证书工作人员的得0.2分，最高不超过2分。</w:t>
      </w:r>
    </w:p>
    <w:p>
      <w:pPr>
        <w:pStyle w:val="7"/>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3.应用场景建设（5分）。</w:t>
      </w:r>
      <w:r>
        <w:rPr>
          <w:rFonts w:hint="eastAsia" w:ascii="仿宋" w:hAnsi="仿宋" w:eastAsia="仿宋" w:cs="仿宋"/>
          <w:sz w:val="32"/>
          <w:szCs w:val="32"/>
          <w:lang w:val="en-US" w:eastAsia="zh-CN"/>
        </w:rPr>
        <w:t>项目参照长沙市智能建造五大标准化应用场景建设，打造智能建造试点（示范）项目的每个得1分，累计不超过5分。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Calibri" w:eastAsia="仿宋_GB2312" w:cs="Times New Roman"/>
          <w:b/>
          <w:bCs/>
          <w:color w:val="auto"/>
          <w:sz w:val="32"/>
          <w:szCs w:val="32"/>
          <w:lang w:val="en-US" w:eastAsia="zh-CN"/>
        </w:rPr>
      </w:pPr>
      <w:r>
        <w:rPr>
          <w:rFonts w:hint="eastAsia" w:ascii="黑体" w:hAnsi="黑体" w:eastAsia="黑体" w:cs="黑体"/>
          <w:b w:val="0"/>
          <w:bCs/>
          <w:sz w:val="32"/>
          <w:szCs w:val="32"/>
          <w:lang w:val="en-US" w:eastAsia="zh-CN"/>
        </w:rPr>
        <w:t>第七条</w:t>
      </w:r>
      <w:r>
        <w:rPr>
          <w:rFonts w:hint="eastAsia" w:ascii="仿宋_GB2312" w:eastAsia="仿宋_GB2312" w:cs="Times New Roman"/>
          <w:b/>
          <w:bCs/>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对申报企业进行综合评定后，按照得分高低排名，选取前40名企业进行引导奖补资金支持。按照前10名每个企业支持引导奖补资金70万元、11名至20名每个企业支持引导奖补资金50万元、21名至30名每个企业支持引导奖补资金30万元、31名至40名每个企业支持引导奖补资金20万元的标准进行，具体资金总额度按照最终评定的企业数量确定，资金总额度不超过1700万元。</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eastAsia="仿宋_GB2312"/>
          <w:color w:val="auto"/>
          <w:sz w:val="32"/>
          <w:szCs w:val="32"/>
          <w:lang w:eastAsia="zh-CN"/>
        </w:rPr>
      </w:pPr>
      <w:r>
        <w:rPr>
          <w:rFonts w:hint="eastAsia" w:ascii="黑体" w:hAnsi="黑体" w:eastAsia="黑体" w:cs="黑体"/>
          <w:b w:val="0"/>
          <w:bCs/>
          <w:sz w:val="32"/>
          <w:szCs w:val="32"/>
        </w:rPr>
        <w:t>第</w:t>
      </w:r>
      <w:r>
        <w:rPr>
          <w:rFonts w:hint="eastAsia" w:ascii="黑体" w:hAnsi="黑体" w:eastAsia="黑体" w:cs="黑体"/>
          <w:b w:val="0"/>
          <w:bCs/>
          <w:sz w:val="32"/>
          <w:szCs w:val="32"/>
          <w:lang w:eastAsia="zh-CN"/>
        </w:rPr>
        <w:t>八</w:t>
      </w:r>
      <w:r>
        <w:rPr>
          <w:rFonts w:hint="eastAsia" w:ascii="黑体" w:hAnsi="黑体" w:eastAsia="黑体" w:cs="黑体"/>
          <w:b w:val="0"/>
          <w:bCs/>
          <w:sz w:val="32"/>
          <w:szCs w:val="32"/>
        </w:rPr>
        <w:t>条</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在评选时间内出现以下情况的企业不纳入评选范围</w:t>
      </w:r>
      <w:r>
        <w:rPr>
          <w:rFonts w:hint="eastAsia" w:ascii="仿宋_GB2312"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发生</w:t>
      </w:r>
      <w:r>
        <w:rPr>
          <w:rFonts w:hint="eastAsia" w:ascii="仿宋_GB2312" w:eastAsia="仿宋_GB2312"/>
          <w:color w:val="auto"/>
          <w:sz w:val="32"/>
          <w:szCs w:val="32"/>
          <w:lang w:eastAsia="zh-CN"/>
        </w:rPr>
        <w:t>一般及</w:t>
      </w:r>
      <w:r>
        <w:rPr>
          <w:rFonts w:hint="eastAsia" w:ascii="仿宋_GB2312" w:eastAsia="仿宋_GB2312"/>
          <w:color w:val="auto"/>
          <w:sz w:val="32"/>
          <w:szCs w:val="32"/>
        </w:rPr>
        <w:t>以上质量或安全生产事故</w:t>
      </w:r>
      <w:r>
        <w:rPr>
          <w:rFonts w:hint="eastAsia" w:ascii="仿宋_GB2312" w:eastAsia="仿宋_GB2312"/>
          <w:color w:val="auto"/>
          <w:sz w:val="32"/>
          <w:szCs w:val="32"/>
          <w:lang w:eastAsia="zh-CN"/>
        </w:rPr>
        <w:t>的</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恶意拖欠农民工工资或发生</w:t>
      </w:r>
      <w:r>
        <w:rPr>
          <w:rFonts w:hint="eastAsia" w:ascii="仿宋_GB2312" w:eastAsia="仿宋_GB2312"/>
          <w:color w:val="auto"/>
          <w:sz w:val="32"/>
          <w:szCs w:val="32"/>
          <w:lang w:eastAsia="zh-CN"/>
        </w:rPr>
        <w:t>群访闹访</w:t>
      </w:r>
      <w:r>
        <w:rPr>
          <w:rFonts w:hint="eastAsia" w:ascii="仿宋_GB2312" w:eastAsia="仿宋_GB2312"/>
          <w:color w:val="auto"/>
          <w:sz w:val="32"/>
          <w:szCs w:val="32"/>
        </w:rPr>
        <w:t>事件</w:t>
      </w:r>
      <w:r>
        <w:rPr>
          <w:rFonts w:hint="eastAsia" w:ascii="仿宋_GB2312" w:eastAsia="仿宋_GB2312"/>
          <w:color w:val="auto"/>
          <w:sz w:val="32"/>
          <w:szCs w:val="32"/>
          <w:lang w:eastAsia="zh-CN"/>
        </w:rPr>
        <w:t>且</w:t>
      </w:r>
      <w:r>
        <w:rPr>
          <w:rFonts w:hint="eastAsia" w:ascii="仿宋_GB2312" w:eastAsia="仿宋_GB2312"/>
          <w:color w:val="auto"/>
          <w:sz w:val="32"/>
          <w:szCs w:val="32"/>
        </w:rPr>
        <w:t>影响恶劣</w:t>
      </w:r>
      <w:r>
        <w:rPr>
          <w:rFonts w:hint="eastAsia" w:ascii="仿宋_GB2312" w:eastAsia="仿宋_GB2312"/>
          <w:color w:val="auto"/>
          <w:sz w:val="32"/>
          <w:szCs w:val="32"/>
          <w:lang w:eastAsia="zh-CN"/>
        </w:rPr>
        <w:t>的</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发生造成不良社会影响的其他行为或有其他违法违规行为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sz w:val="32"/>
          <w:szCs w:val="32"/>
        </w:rPr>
      </w:pPr>
      <w:r>
        <w:rPr>
          <w:rFonts w:hint="eastAsia" w:ascii="黑体" w:hAnsi="黑体" w:eastAsia="黑体"/>
          <w:sz w:val="32"/>
          <w:szCs w:val="32"/>
        </w:rPr>
        <w:t>第三章 资金</w:t>
      </w:r>
      <w:r>
        <w:rPr>
          <w:rFonts w:hint="eastAsia" w:ascii="黑体" w:hAnsi="黑体" w:eastAsia="黑体"/>
          <w:sz w:val="32"/>
          <w:szCs w:val="32"/>
          <w:lang w:val="en-US" w:eastAsia="zh-CN"/>
        </w:rPr>
        <w:t>使用程序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olor w:val="FF0000"/>
          <w:sz w:val="32"/>
          <w:szCs w:val="32"/>
        </w:rPr>
      </w:pPr>
      <w:r>
        <w:rPr>
          <w:rFonts w:hint="eastAsia" w:ascii="仿宋_GB2312" w:hAnsi="Calibri" w:eastAsia="仿宋_GB2312" w:cs="Times New Roman"/>
          <w:sz w:val="32"/>
          <w:szCs w:val="32"/>
        </w:rPr>
        <w:t xml:space="preserve"> </w:t>
      </w:r>
      <w:r>
        <w:rPr>
          <w:rFonts w:hint="eastAsia" w:ascii="黑体" w:hAnsi="黑体" w:eastAsia="黑体" w:cs="黑体"/>
          <w:b w:val="0"/>
          <w:bCs/>
          <w:sz w:val="32"/>
          <w:szCs w:val="32"/>
        </w:rPr>
        <w:t>第</w:t>
      </w:r>
      <w:r>
        <w:rPr>
          <w:rFonts w:hint="eastAsia" w:ascii="黑体" w:hAnsi="黑体" w:eastAsia="黑体" w:cs="黑体"/>
          <w:b w:val="0"/>
          <w:bCs/>
          <w:sz w:val="32"/>
          <w:szCs w:val="32"/>
          <w:lang w:eastAsia="zh-CN"/>
        </w:rPr>
        <w:t>九</w:t>
      </w:r>
      <w:r>
        <w:rPr>
          <w:rFonts w:hint="eastAsia" w:ascii="黑体" w:hAnsi="黑体" w:eastAsia="黑体" w:cs="黑体"/>
          <w:b w:val="0"/>
          <w:bCs/>
          <w:sz w:val="32"/>
          <w:szCs w:val="32"/>
        </w:rPr>
        <w:t>条</w:t>
      </w:r>
      <w:r>
        <w:rPr>
          <w:rFonts w:hint="eastAsia" w:ascii="仿宋_GB2312" w:eastAsia="仿宋_GB2312"/>
          <w:sz w:val="32"/>
          <w:szCs w:val="32"/>
          <w:lang w:val="en-US" w:eastAsia="zh-CN"/>
        </w:rPr>
        <w:t xml:space="preserve">  </w:t>
      </w:r>
      <w:r>
        <w:rPr>
          <w:rFonts w:hint="eastAsia" w:ascii="仿宋_GB2312" w:eastAsia="仿宋_GB2312"/>
          <w:color w:val="auto"/>
          <w:sz w:val="32"/>
          <w:szCs w:val="32"/>
        </w:rPr>
        <w:t>市</w:t>
      </w:r>
      <w:r>
        <w:rPr>
          <w:rFonts w:hint="eastAsia" w:ascii="仿宋_GB2312" w:eastAsia="仿宋_GB2312"/>
          <w:sz w:val="32"/>
          <w:szCs w:val="32"/>
        </w:rPr>
        <w:t>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w:t>
      </w:r>
      <w:r>
        <w:rPr>
          <w:rFonts w:hint="eastAsia" w:ascii="仿宋_GB2312" w:eastAsia="仿宋_GB2312"/>
          <w:color w:val="auto"/>
          <w:sz w:val="32"/>
          <w:szCs w:val="32"/>
        </w:rPr>
        <w:t>应根据当年</w:t>
      </w:r>
      <w:r>
        <w:rPr>
          <w:rFonts w:hint="eastAsia" w:ascii="仿宋_GB2312" w:eastAsia="仿宋_GB2312"/>
          <w:color w:val="auto"/>
          <w:sz w:val="32"/>
          <w:szCs w:val="32"/>
          <w:lang w:eastAsia="zh-CN"/>
        </w:rPr>
        <w:t>资金</w:t>
      </w:r>
      <w:r>
        <w:rPr>
          <w:rFonts w:hint="eastAsia" w:ascii="仿宋_GB2312" w:eastAsia="仿宋_GB2312"/>
          <w:color w:val="auto"/>
          <w:sz w:val="32"/>
          <w:szCs w:val="32"/>
        </w:rPr>
        <w:t>预算安排，拟定</w:t>
      </w:r>
      <w:r>
        <w:rPr>
          <w:rFonts w:hint="eastAsia" w:ascii="仿宋_GB2312" w:eastAsia="仿宋_GB2312"/>
          <w:color w:val="auto"/>
          <w:sz w:val="32"/>
          <w:szCs w:val="32"/>
          <w:lang w:eastAsia="zh-CN"/>
        </w:rPr>
        <w:t>引导奖补资金评定</w:t>
      </w:r>
      <w:r>
        <w:rPr>
          <w:rFonts w:hint="eastAsia" w:ascii="仿宋_GB2312" w:eastAsia="仿宋_GB2312"/>
          <w:color w:val="auto"/>
          <w:sz w:val="32"/>
          <w:szCs w:val="32"/>
        </w:rPr>
        <w:t>工作</w:t>
      </w:r>
      <w:r>
        <w:rPr>
          <w:rFonts w:hint="eastAsia" w:ascii="仿宋_GB2312" w:eastAsia="仿宋_GB2312"/>
          <w:color w:val="auto"/>
          <w:sz w:val="32"/>
          <w:szCs w:val="32"/>
          <w:lang w:eastAsia="zh-CN"/>
        </w:rPr>
        <w:t>文件</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引导奖补资金使用流程包括：</w:t>
      </w:r>
      <w:r>
        <w:rPr>
          <w:rFonts w:hint="eastAsia" w:ascii="仿宋_GB2312" w:eastAsia="仿宋_GB2312"/>
          <w:b/>
          <w:bCs/>
          <w:color w:val="auto"/>
          <w:sz w:val="32"/>
          <w:szCs w:val="32"/>
          <w:lang w:val="en-US" w:eastAsia="zh-CN"/>
        </w:rPr>
        <w:t>1.企业申报，</w:t>
      </w:r>
      <w:r>
        <w:rPr>
          <w:rFonts w:hint="eastAsia" w:ascii="Times New Roman" w:hAnsi="Times New Roman" w:eastAsia="仿宋_GB2312" w:cs="仿宋_GB2312"/>
          <w:sz w:val="32"/>
          <w:szCs w:val="32"/>
          <w:lang w:val="en-US" w:eastAsia="zh-CN"/>
        </w:rPr>
        <w:t>企业根据当年市</w:t>
      </w:r>
      <w:r>
        <w:rPr>
          <w:rFonts w:hint="eastAsia" w:ascii="仿宋_GB2312" w:eastAsia="仿宋_GB2312"/>
          <w:sz w:val="32"/>
          <w:szCs w:val="32"/>
        </w:rPr>
        <w:t>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w:t>
      </w:r>
      <w:r>
        <w:rPr>
          <w:rFonts w:hint="eastAsia" w:ascii="Times New Roman" w:hAnsi="Times New Roman" w:eastAsia="仿宋_GB2312" w:cs="仿宋_GB2312"/>
          <w:sz w:val="32"/>
          <w:szCs w:val="32"/>
          <w:lang w:val="en-US" w:eastAsia="zh-CN"/>
        </w:rPr>
        <w:t>发布的申报文件，准备申报资料</w:t>
      </w:r>
      <w:r>
        <w:rPr>
          <w:rFonts w:hint="eastAsia" w:ascii="仿宋_GB2312" w:eastAsia="仿宋_GB2312"/>
          <w:color w:val="auto"/>
          <w:sz w:val="32"/>
          <w:szCs w:val="32"/>
          <w:lang w:val="en-US" w:eastAsia="zh-CN"/>
        </w:rPr>
        <w:t>。</w:t>
      </w:r>
      <w:r>
        <w:rPr>
          <w:rFonts w:hint="eastAsia" w:ascii="仿宋_GB2312" w:eastAsia="仿宋_GB2312"/>
          <w:b/>
          <w:bCs/>
          <w:color w:val="auto"/>
          <w:sz w:val="32"/>
          <w:szCs w:val="32"/>
          <w:lang w:val="en-US" w:eastAsia="zh-CN"/>
        </w:rPr>
        <w:t>2.材料审核，</w:t>
      </w:r>
      <w:r>
        <w:rPr>
          <w:rFonts w:hint="eastAsia" w:ascii="Times New Roman" w:hAnsi="Times New Roman" w:eastAsia="仿宋" w:cs="Times New Roman"/>
          <w:color w:val="000000"/>
          <w:sz w:val="32"/>
          <w:szCs w:val="32"/>
          <w:lang w:val="en-US" w:eastAsia="zh-CN"/>
        </w:rPr>
        <w:t>由</w:t>
      </w:r>
      <w:r>
        <w:rPr>
          <w:rFonts w:hint="eastAsia" w:ascii="Times New Roman" w:hAnsi="Times New Roman" w:eastAsia="仿宋_GB2312" w:cs="仿宋_GB2312"/>
          <w:sz w:val="32"/>
          <w:szCs w:val="32"/>
          <w:lang w:val="en-US" w:eastAsia="zh-CN"/>
        </w:rPr>
        <w:t>区县（市）住房城乡建设行政主管部门对属地企业申报材料进行初审后，将符合条件的企业报至市</w:t>
      </w:r>
      <w:r>
        <w:rPr>
          <w:rFonts w:hint="eastAsia" w:ascii="仿宋_GB2312" w:eastAsia="仿宋_GB2312"/>
          <w:sz w:val="32"/>
          <w:szCs w:val="32"/>
        </w:rPr>
        <w:t>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b/>
          <w:bCs/>
          <w:sz w:val="32"/>
          <w:szCs w:val="32"/>
          <w:lang w:val="en-US" w:eastAsia="zh-CN"/>
        </w:rPr>
        <w:t>3.</w:t>
      </w:r>
      <w:r>
        <w:rPr>
          <w:rFonts w:hint="eastAsia" w:ascii="仿宋_GB2312" w:eastAsia="仿宋_GB2312"/>
          <w:b/>
          <w:bCs/>
          <w:color w:val="auto"/>
          <w:sz w:val="32"/>
          <w:szCs w:val="32"/>
          <w:lang w:val="en-US" w:eastAsia="zh-CN"/>
        </w:rPr>
        <w:t>综合评定</w:t>
      </w:r>
      <w:r>
        <w:rPr>
          <w:rFonts w:hint="eastAsia" w:ascii="仿宋_GB2312" w:eastAsia="仿宋_GB2312"/>
          <w:color w:val="auto"/>
          <w:sz w:val="32"/>
          <w:szCs w:val="32"/>
          <w:lang w:val="en-US" w:eastAsia="zh-CN"/>
        </w:rPr>
        <w:t>，</w:t>
      </w:r>
      <w:r>
        <w:rPr>
          <w:rFonts w:hint="eastAsia" w:ascii="Times New Roman" w:hAnsi="Times New Roman" w:eastAsia="仿宋_GB2312" w:cs="仿宋_GB2312"/>
          <w:sz w:val="32"/>
          <w:szCs w:val="32"/>
          <w:lang w:val="en-US" w:eastAsia="zh-CN"/>
        </w:rPr>
        <w:t>市</w:t>
      </w:r>
      <w:r>
        <w:rPr>
          <w:rFonts w:hint="eastAsia" w:ascii="仿宋_GB2312" w:eastAsia="仿宋_GB2312"/>
          <w:sz w:val="32"/>
          <w:szCs w:val="32"/>
        </w:rPr>
        <w:t>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w:t>
      </w:r>
      <w:r>
        <w:rPr>
          <w:rFonts w:hint="eastAsia" w:ascii="Times New Roman" w:hAnsi="Times New Roman" w:eastAsia="仿宋_GB2312" w:cs="仿宋_GB2312"/>
          <w:sz w:val="32"/>
          <w:szCs w:val="32"/>
          <w:lang w:val="en-US" w:eastAsia="zh-CN"/>
        </w:rPr>
        <w:t>组织</w:t>
      </w:r>
      <w:r>
        <w:rPr>
          <w:rFonts w:hint="eastAsia" w:ascii="Times New Roman" w:hAnsi="Times New Roman" w:eastAsia="仿宋_GB2312" w:cs="仿宋_GB2312"/>
          <w:color w:val="auto"/>
          <w:sz w:val="32"/>
          <w:szCs w:val="32"/>
          <w:lang w:val="en-US" w:eastAsia="zh-CN"/>
        </w:rPr>
        <w:t>对</w:t>
      </w:r>
      <w:r>
        <w:rPr>
          <w:rFonts w:hint="eastAsia" w:ascii="Times New Roman" w:hAnsi="Times New Roman" w:eastAsia="仿宋_GB2312" w:cs="仿宋_GB2312"/>
          <w:sz w:val="32"/>
          <w:szCs w:val="32"/>
          <w:lang w:val="en-US" w:eastAsia="zh-CN"/>
        </w:rPr>
        <w:t>企业申报资料进行综合评定，根据评定结果制定资金奖补分配方案报局党组研究审定。</w:t>
      </w:r>
      <w:r>
        <w:rPr>
          <w:rFonts w:hint="eastAsia" w:ascii="Times New Roman" w:hAnsi="Times New Roman" w:eastAsia="仿宋_GB2312" w:cs="仿宋_GB2312"/>
          <w:b/>
          <w:bCs/>
          <w:sz w:val="32"/>
          <w:szCs w:val="32"/>
          <w:lang w:val="en-US" w:eastAsia="zh-CN"/>
        </w:rPr>
        <w:t>4.</w:t>
      </w:r>
      <w:r>
        <w:rPr>
          <w:rFonts w:hint="eastAsia" w:ascii="仿宋_GB2312" w:eastAsia="仿宋_GB2312"/>
          <w:b/>
          <w:bCs/>
          <w:color w:val="auto"/>
          <w:sz w:val="32"/>
          <w:szCs w:val="32"/>
          <w:lang w:val="en-US" w:eastAsia="zh-CN"/>
        </w:rPr>
        <w:t>公示，</w:t>
      </w:r>
      <w:r>
        <w:rPr>
          <w:rFonts w:hint="eastAsia" w:ascii="Times New Roman" w:hAnsi="Times New Roman" w:eastAsia="仿宋_GB2312" w:cs="仿宋_GB2312"/>
          <w:sz w:val="32"/>
          <w:szCs w:val="32"/>
          <w:lang w:val="en-US" w:eastAsia="zh-CN"/>
        </w:rPr>
        <w:t>评定通</w:t>
      </w:r>
      <w:r>
        <w:rPr>
          <w:rFonts w:hint="eastAsia" w:ascii="方正仿宋_GB2312" w:hAnsi="方正仿宋_GB2312" w:eastAsia="方正仿宋_GB2312" w:cs="方正仿宋_GB2312"/>
          <w:sz w:val="32"/>
          <w:szCs w:val="32"/>
        </w:rPr>
        <w:t>过的企业名单及相关信息在市</w:t>
      </w:r>
      <w:r>
        <w:rPr>
          <w:rFonts w:hint="eastAsia" w:ascii="仿宋_GB2312" w:eastAsia="仿宋_GB2312"/>
          <w:sz w:val="32"/>
          <w:szCs w:val="32"/>
        </w:rPr>
        <w:t>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w:t>
      </w:r>
      <w:r>
        <w:rPr>
          <w:rFonts w:hint="eastAsia" w:ascii="方正仿宋_GB2312" w:hAnsi="方正仿宋_GB2312" w:eastAsia="方正仿宋_GB2312" w:cs="方正仿宋_GB2312"/>
          <w:sz w:val="32"/>
          <w:szCs w:val="32"/>
        </w:rPr>
        <w:t>官网公示</w:t>
      </w:r>
      <w:r>
        <w:rPr>
          <w:rFonts w:hint="eastAsia" w:ascii="方正仿宋_GB2312" w:hAnsi="方正仿宋_GB2312" w:eastAsia="方正仿宋_GB2312" w:cs="方正仿宋_GB2312"/>
          <w:sz w:val="32"/>
          <w:szCs w:val="32"/>
          <w:lang w:eastAsia="zh-CN"/>
        </w:rPr>
        <w:t>，</w:t>
      </w:r>
      <w:r>
        <w:rPr>
          <w:rFonts w:hint="eastAsia" w:ascii="仿宋_GB2312" w:eastAsia="仿宋_GB2312"/>
          <w:sz w:val="32"/>
          <w:szCs w:val="32"/>
          <w:lang w:eastAsia="zh-CN"/>
        </w:rPr>
        <w:t>公示期不少于5个工作日</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b/>
          <w:bCs/>
          <w:sz w:val="32"/>
          <w:szCs w:val="32"/>
          <w:lang w:val="en-US" w:eastAsia="zh-CN"/>
        </w:rPr>
        <w:t>5.</w:t>
      </w:r>
      <w:r>
        <w:rPr>
          <w:rFonts w:hint="eastAsia" w:ascii="仿宋_GB2312" w:eastAsia="仿宋_GB2312"/>
          <w:b/>
          <w:bCs/>
          <w:color w:val="auto"/>
          <w:sz w:val="32"/>
          <w:szCs w:val="32"/>
          <w:lang w:val="en-US" w:eastAsia="zh-CN"/>
        </w:rPr>
        <w:t>资金拨付，</w:t>
      </w:r>
      <w:r>
        <w:rPr>
          <w:rFonts w:hint="eastAsia" w:ascii="仿宋_GB2312" w:eastAsia="仿宋_GB2312"/>
          <w:sz w:val="32"/>
          <w:szCs w:val="32"/>
          <w:lang w:eastAsia="zh-CN"/>
        </w:rPr>
        <w:t>经公示无异议，</w:t>
      </w:r>
      <w:r>
        <w:rPr>
          <w:rFonts w:hint="eastAsia" w:ascii="Times New Roman" w:hAnsi="Times New Roman" w:eastAsia="仿宋_GB2312" w:cs="仿宋_GB2312"/>
          <w:sz w:val="32"/>
          <w:szCs w:val="32"/>
          <w:lang w:val="en-US" w:eastAsia="zh-CN"/>
        </w:rPr>
        <w:t>市</w:t>
      </w:r>
      <w:r>
        <w:rPr>
          <w:rFonts w:hint="eastAsia" w:ascii="仿宋_GB2312" w:eastAsia="仿宋_GB2312"/>
          <w:sz w:val="32"/>
          <w:szCs w:val="32"/>
        </w:rPr>
        <w:t>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w:t>
      </w:r>
      <w:r>
        <w:rPr>
          <w:rFonts w:hint="eastAsia" w:ascii="Times New Roman" w:hAnsi="Times New Roman" w:eastAsia="仿宋_GB2312" w:cs="仿宋_GB2312"/>
          <w:sz w:val="32"/>
          <w:szCs w:val="32"/>
          <w:lang w:val="en-US" w:eastAsia="zh-CN"/>
        </w:rPr>
        <w:t>会同市财政局将引导奖补资金拨付至企业。</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lang w:eastAsia="zh-CN"/>
        </w:rPr>
      </w:pPr>
      <w:r>
        <w:rPr>
          <w:rFonts w:hint="eastAsia" w:ascii="黑体" w:hAnsi="黑体" w:eastAsia="黑体" w:cs="黑体"/>
          <w:b w:val="0"/>
          <w:bCs/>
          <w:sz w:val="32"/>
          <w:szCs w:val="32"/>
        </w:rPr>
        <w:t>第十条</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引导奖补</w:t>
      </w:r>
      <w:r>
        <w:rPr>
          <w:rFonts w:hint="eastAsia" w:ascii="仿宋_GB2312" w:eastAsia="仿宋_GB2312"/>
          <w:sz w:val="32"/>
          <w:szCs w:val="32"/>
        </w:rPr>
        <w:t>资金</w:t>
      </w:r>
      <w:r>
        <w:rPr>
          <w:rFonts w:hint="eastAsia" w:ascii="仿宋_GB2312" w:eastAsia="仿宋_GB2312"/>
          <w:sz w:val="32"/>
          <w:szCs w:val="32"/>
          <w:lang w:eastAsia="zh-CN"/>
        </w:rPr>
        <w:t>要</w:t>
      </w:r>
      <w:r>
        <w:rPr>
          <w:rFonts w:hint="eastAsia" w:ascii="仿宋_GB2312" w:eastAsia="仿宋_GB2312"/>
          <w:sz w:val="32"/>
          <w:szCs w:val="32"/>
        </w:rPr>
        <w:t>专款专用，</w:t>
      </w:r>
      <w:r>
        <w:rPr>
          <w:rFonts w:hint="eastAsia" w:ascii="仿宋_GB2312" w:eastAsia="仿宋_GB2312"/>
          <w:sz w:val="32"/>
          <w:szCs w:val="32"/>
          <w:lang w:eastAsia="zh-CN"/>
        </w:rPr>
        <w:t>在</w:t>
      </w:r>
      <w:r>
        <w:rPr>
          <w:rFonts w:hint="eastAsia" w:ascii="仿宋_GB2312" w:eastAsia="仿宋_GB2312"/>
          <w:sz w:val="32"/>
          <w:szCs w:val="32"/>
        </w:rPr>
        <w:t>规定范围</w:t>
      </w:r>
      <w:r>
        <w:rPr>
          <w:rFonts w:hint="eastAsia" w:ascii="仿宋_GB2312" w:eastAsia="仿宋_GB2312"/>
          <w:sz w:val="32"/>
          <w:szCs w:val="32"/>
          <w:lang w:eastAsia="zh-CN"/>
        </w:rPr>
        <w:t>内</w:t>
      </w:r>
      <w:r>
        <w:rPr>
          <w:rFonts w:hint="eastAsia" w:ascii="仿宋_GB2312" w:eastAsia="仿宋_GB2312"/>
          <w:sz w:val="32"/>
          <w:szCs w:val="32"/>
        </w:rPr>
        <w:t>使用</w:t>
      </w:r>
      <w:r>
        <w:rPr>
          <w:rFonts w:hint="eastAsia" w:ascii="仿宋_GB2312" w:eastAsia="仿宋_GB2312"/>
          <w:sz w:val="32"/>
          <w:szCs w:val="32"/>
          <w:lang w:eastAsia="zh-CN"/>
        </w:rPr>
        <w:t>，</w:t>
      </w:r>
      <w:r>
        <w:rPr>
          <w:rFonts w:hint="eastAsia" w:ascii="仿宋_GB2312" w:eastAsia="仿宋_GB2312"/>
          <w:sz w:val="32"/>
          <w:szCs w:val="32"/>
        </w:rPr>
        <w:t>任何单位和个人不得滞留、截留，不</w:t>
      </w:r>
      <w:r>
        <w:rPr>
          <w:rFonts w:hint="eastAsia" w:ascii="仿宋_GB2312" w:eastAsia="仿宋_GB2312"/>
          <w:sz w:val="32"/>
          <w:szCs w:val="32"/>
          <w:lang w:eastAsia="zh-CN"/>
        </w:rPr>
        <w:t>得挪作他</w:t>
      </w:r>
      <w:r>
        <w:rPr>
          <w:rFonts w:hint="eastAsia" w:ascii="仿宋_GB2312" w:eastAsia="仿宋_GB2312"/>
          <w:sz w:val="32"/>
          <w:szCs w:val="32"/>
        </w:rPr>
        <w:t>用</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sz w:val="32"/>
          <w:szCs w:val="32"/>
          <w:lang w:eastAsia="zh-CN"/>
        </w:rPr>
      </w:pPr>
      <w:r>
        <w:rPr>
          <w:rFonts w:hint="eastAsia" w:ascii="黑体" w:hAnsi="黑体" w:eastAsia="黑体"/>
          <w:sz w:val="32"/>
          <w:szCs w:val="32"/>
          <w:lang w:eastAsia="zh-CN"/>
        </w:rPr>
        <w:t>第四章</w:t>
      </w:r>
      <w:r>
        <w:rPr>
          <w:rFonts w:hint="eastAsia" w:ascii="黑体" w:hAnsi="黑体" w:eastAsia="黑体"/>
          <w:sz w:val="32"/>
          <w:szCs w:val="32"/>
        </w:rPr>
        <w:t xml:space="preserve"> 资金监</w:t>
      </w:r>
      <w:r>
        <w:rPr>
          <w:rFonts w:hint="eastAsia" w:ascii="黑体" w:hAnsi="黑体" w:eastAsia="黑体"/>
          <w:sz w:val="32"/>
          <w:szCs w:val="32"/>
          <w:lang w:eastAsia="zh-CN"/>
        </w:rPr>
        <w:t>督</w:t>
      </w:r>
      <w:r>
        <w:rPr>
          <w:rFonts w:hint="eastAsia" w:ascii="黑体" w:hAnsi="黑体" w:eastAsia="黑体"/>
          <w:sz w:val="32"/>
          <w:szCs w:val="32"/>
        </w:rPr>
        <w:t>管</w:t>
      </w:r>
      <w:r>
        <w:rPr>
          <w:rFonts w:hint="eastAsia" w:ascii="黑体" w:hAnsi="黑体" w:eastAsia="黑体"/>
          <w:sz w:val="32"/>
          <w:szCs w:val="32"/>
          <w:lang w:eastAsia="zh-CN"/>
        </w:rPr>
        <w:t>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黑体" w:hAnsi="黑体" w:eastAsia="黑体" w:cs="黑体"/>
          <w:b w:val="0"/>
          <w:bCs/>
          <w:sz w:val="32"/>
          <w:szCs w:val="32"/>
        </w:rPr>
        <w:t>第十</w:t>
      </w: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条</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引导奖补</w:t>
      </w:r>
      <w:r>
        <w:rPr>
          <w:rFonts w:hint="eastAsia" w:ascii="仿宋_GB2312" w:eastAsia="仿宋_GB2312"/>
          <w:sz w:val="32"/>
          <w:szCs w:val="32"/>
        </w:rPr>
        <w:t>资金</w:t>
      </w:r>
      <w:r>
        <w:rPr>
          <w:rFonts w:hint="eastAsia" w:ascii="仿宋_GB2312" w:eastAsia="仿宋_GB2312"/>
          <w:sz w:val="32"/>
          <w:szCs w:val="32"/>
          <w:lang w:eastAsia="zh-CN"/>
        </w:rPr>
        <w:t>按要求进行绩效评价、</w:t>
      </w:r>
      <w:r>
        <w:rPr>
          <w:rFonts w:hint="eastAsia" w:ascii="仿宋_GB2312" w:eastAsia="仿宋_GB2312"/>
          <w:sz w:val="32"/>
          <w:szCs w:val="32"/>
        </w:rPr>
        <w:t>接受监察、审计等部门的监督检查和社会监督</w:t>
      </w:r>
      <w:r>
        <w:rPr>
          <w:rFonts w:hint="eastAsia" w:ascii="仿宋_GB2312" w:eastAsia="仿宋_GB2312"/>
          <w:sz w:val="32"/>
          <w:szCs w:val="32"/>
          <w:lang w:eastAsia="zh-CN"/>
        </w:rPr>
        <w:t>，</w:t>
      </w:r>
      <w:r>
        <w:rPr>
          <w:rFonts w:hint="eastAsia" w:ascii="仿宋_GB2312" w:eastAsia="仿宋_GB2312"/>
          <w:sz w:val="32"/>
          <w:szCs w:val="32"/>
        </w:rPr>
        <w:t>市财政局和市住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局应</w:t>
      </w:r>
      <w:r>
        <w:rPr>
          <w:rFonts w:hint="eastAsia" w:ascii="仿宋_GB2312" w:eastAsia="仿宋_GB2312"/>
          <w:sz w:val="32"/>
          <w:szCs w:val="32"/>
          <w:lang w:eastAsia="zh-CN"/>
        </w:rPr>
        <w:t>按</w:t>
      </w:r>
      <w:r>
        <w:rPr>
          <w:rFonts w:hint="eastAsia" w:ascii="仿宋_GB2312" w:eastAsia="仿宋_GB2312"/>
          <w:sz w:val="32"/>
          <w:szCs w:val="32"/>
        </w:rPr>
        <w:t>职责分工</w:t>
      </w:r>
      <w:r>
        <w:rPr>
          <w:rFonts w:hint="eastAsia" w:ascii="仿宋_GB2312" w:eastAsia="仿宋_GB2312"/>
          <w:sz w:val="32"/>
          <w:szCs w:val="32"/>
          <w:lang w:eastAsia="zh-CN"/>
        </w:rPr>
        <w:t>和规定要求规范使用，</w:t>
      </w:r>
      <w:r>
        <w:rPr>
          <w:rFonts w:hint="eastAsia" w:ascii="仿宋_GB2312" w:eastAsia="仿宋_GB2312"/>
          <w:sz w:val="32"/>
          <w:szCs w:val="32"/>
        </w:rPr>
        <w:t>加强</w:t>
      </w:r>
      <w:r>
        <w:rPr>
          <w:rFonts w:hint="eastAsia" w:ascii="仿宋_GB2312" w:eastAsia="仿宋_GB2312"/>
          <w:sz w:val="32"/>
          <w:szCs w:val="32"/>
          <w:lang w:eastAsia="zh-CN"/>
        </w:rPr>
        <w:t>资金</w:t>
      </w:r>
      <w:r>
        <w:rPr>
          <w:rFonts w:hint="eastAsia" w:ascii="仿宋_GB2312" w:eastAsia="仿宋_GB2312"/>
          <w:sz w:val="32"/>
          <w:szCs w:val="32"/>
        </w:rPr>
        <w:t>监</w:t>
      </w:r>
      <w:r>
        <w:rPr>
          <w:rFonts w:hint="eastAsia" w:ascii="仿宋_GB2312" w:eastAsia="仿宋_GB2312"/>
          <w:sz w:val="32"/>
          <w:szCs w:val="32"/>
          <w:lang w:eastAsia="zh-CN"/>
        </w:rPr>
        <w:t>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olor w:val="auto"/>
          <w:sz w:val="32"/>
          <w:szCs w:val="32"/>
        </w:rPr>
      </w:pPr>
      <w:r>
        <w:rPr>
          <w:rFonts w:hint="eastAsia" w:ascii="黑体" w:hAnsi="黑体" w:eastAsia="黑体" w:cs="黑体"/>
          <w:b w:val="0"/>
          <w:bCs/>
          <w:sz w:val="32"/>
          <w:szCs w:val="32"/>
        </w:rPr>
        <w:t>第十</w:t>
      </w: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条</w:t>
      </w:r>
      <w:r>
        <w:rPr>
          <w:rFonts w:hint="eastAsia" w:ascii="仿宋_GB2312" w:eastAsia="仿宋_GB2312"/>
          <w:b/>
          <w:color w:val="auto"/>
          <w:sz w:val="32"/>
          <w:szCs w:val="32"/>
          <w:lang w:val="en-US" w:eastAsia="zh-CN"/>
        </w:rPr>
        <w:t xml:space="preserve">  </w:t>
      </w:r>
      <w:r>
        <w:rPr>
          <w:rFonts w:hint="eastAsia" w:ascii="仿宋_GB2312" w:eastAsia="仿宋_GB2312"/>
          <w:color w:val="auto"/>
          <w:sz w:val="32"/>
          <w:szCs w:val="32"/>
          <w:lang w:val="en-US" w:eastAsia="zh-CN"/>
        </w:rPr>
        <w:t>企业严格按规定要求进行申报和引导奖补资金使用，</w:t>
      </w:r>
      <w:r>
        <w:rPr>
          <w:rFonts w:hint="eastAsia" w:ascii="仿宋_GB2312" w:eastAsia="仿宋_GB2312"/>
          <w:color w:val="auto"/>
          <w:sz w:val="32"/>
          <w:szCs w:val="32"/>
          <w:lang w:eastAsia="zh-CN"/>
        </w:rPr>
        <w:t>如</w:t>
      </w:r>
      <w:r>
        <w:rPr>
          <w:rFonts w:hint="eastAsia" w:ascii="仿宋_GB2312" w:eastAsia="仿宋_GB2312"/>
          <w:color w:val="auto"/>
          <w:sz w:val="32"/>
          <w:szCs w:val="32"/>
        </w:rPr>
        <w:t>违反相关</w:t>
      </w:r>
      <w:r>
        <w:rPr>
          <w:rFonts w:hint="eastAsia" w:ascii="仿宋_GB2312" w:eastAsia="仿宋_GB2312"/>
          <w:color w:val="auto"/>
          <w:sz w:val="32"/>
          <w:szCs w:val="32"/>
          <w:lang w:eastAsia="zh-CN"/>
        </w:rPr>
        <w:t>政策、</w:t>
      </w:r>
      <w:r>
        <w:rPr>
          <w:rFonts w:hint="eastAsia" w:ascii="仿宋_GB2312" w:eastAsia="仿宋_GB2312"/>
          <w:color w:val="auto"/>
          <w:sz w:val="32"/>
          <w:szCs w:val="32"/>
        </w:rPr>
        <w:t>法律法规的，由市财政部门</w:t>
      </w:r>
      <w:r>
        <w:rPr>
          <w:rFonts w:hint="eastAsia" w:ascii="仿宋_GB2312" w:eastAsia="仿宋_GB2312"/>
          <w:color w:val="auto"/>
          <w:sz w:val="32"/>
          <w:szCs w:val="32"/>
          <w:lang w:eastAsia="zh-CN"/>
        </w:rPr>
        <w:t>、市</w:t>
      </w:r>
      <w:r>
        <w:rPr>
          <w:rFonts w:hint="eastAsia" w:ascii="仿宋_GB2312" w:eastAsia="仿宋_GB2312"/>
          <w:sz w:val="32"/>
          <w:szCs w:val="32"/>
        </w:rPr>
        <w:t>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color w:val="auto"/>
          <w:sz w:val="32"/>
          <w:szCs w:val="32"/>
          <w:lang w:eastAsia="zh-CN"/>
        </w:rPr>
        <w:t>部门</w:t>
      </w:r>
      <w:r>
        <w:rPr>
          <w:rFonts w:hint="eastAsia" w:ascii="仿宋_GB2312" w:eastAsia="仿宋_GB2312"/>
          <w:color w:val="auto"/>
          <w:sz w:val="32"/>
          <w:szCs w:val="32"/>
        </w:rPr>
        <w:t>依照有关规定予以处理，可取消</w:t>
      </w:r>
      <w:r>
        <w:rPr>
          <w:rFonts w:hint="eastAsia" w:ascii="仿宋_GB2312" w:eastAsia="仿宋_GB2312"/>
          <w:color w:val="auto"/>
          <w:sz w:val="32"/>
          <w:szCs w:val="32"/>
          <w:lang w:eastAsia="zh-CN"/>
        </w:rPr>
        <w:t>企业引导奖补资</w:t>
      </w:r>
      <w:r>
        <w:rPr>
          <w:rFonts w:hint="eastAsia" w:ascii="仿宋_GB2312" w:eastAsia="仿宋_GB2312"/>
          <w:color w:val="auto"/>
          <w:sz w:val="32"/>
          <w:szCs w:val="32"/>
        </w:rPr>
        <w:t>金支持资格、</w:t>
      </w:r>
      <w:r>
        <w:rPr>
          <w:rFonts w:hint="eastAsia" w:ascii="仿宋_GB2312" w:eastAsia="仿宋_GB2312"/>
          <w:color w:val="auto"/>
          <w:sz w:val="32"/>
          <w:szCs w:val="32"/>
          <w:lang w:eastAsia="zh-CN"/>
        </w:rPr>
        <w:t>追</w:t>
      </w:r>
      <w:r>
        <w:rPr>
          <w:rFonts w:hint="eastAsia" w:ascii="仿宋_GB2312" w:eastAsia="仿宋_GB2312"/>
          <w:color w:val="auto"/>
          <w:sz w:val="32"/>
          <w:szCs w:val="32"/>
        </w:rPr>
        <w:t>回已拨付</w:t>
      </w:r>
      <w:r>
        <w:rPr>
          <w:rFonts w:hint="eastAsia" w:ascii="仿宋_GB2312" w:eastAsia="仿宋_GB2312"/>
          <w:color w:val="auto"/>
          <w:sz w:val="32"/>
          <w:szCs w:val="32"/>
          <w:lang w:eastAsia="zh-CN"/>
        </w:rPr>
        <w:t>的</w:t>
      </w:r>
      <w:r>
        <w:rPr>
          <w:rFonts w:hint="eastAsia" w:ascii="仿宋_GB2312" w:eastAsia="仿宋_GB2312"/>
          <w:color w:val="auto"/>
          <w:sz w:val="32"/>
          <w:szCs w:val="32"/>
        </w:rPr>
        <w:t>资金等</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涉嫌犯罪的，移交司法机关</w:t>
      </w:r>
      <w:r>
        <w:rPr>
          <w:rFonts w:hint="eastAsia" w:ascii="仿宋_GB2312" w:eastAsia="仿宋_GB2312"/>
          <w:color w:val="auto"/>
          <w:sz w:val="32"/>
          <w:szCs w:val="32"/>
          <w:lang w:eastAsia="zh-CN"/>
        </w:rPr>
        <w:t>处理</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黑体" w:hAnsi="黑体" w:eastAsia="黑体"/>
          <w:sz w:val="32"/>
          <w:szCs w:val="32"/>
        </w:rPr>
      </w:pPr>
      <w:r>
        <w:rPr>
          <w:rFonts w:hint="eastAsia" w:ascii="黑体" w:hAnsi="黑体" w:eastAsia="黑体"/>
          <w:sz w:val="32"/>
          <w:szCs w:val="32"/>
        </w:rPr>
        <w:t>第五章  附 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黑体" w:hAnsi="黑体" w:eastAsia="黑体" w:cs="黑体"/>
          <w:b w:val="0"/>
          <w:bCs/>
          <w:sz w:val="32"/>
          <w:szCs w:val="32"/>
        </w:rPr>
        <w:t>第十</w:t>
      </w: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条</w:t>
      </w:r>
      <w:r>
        <w:rPr>
          <w:rFonts w:hint="eastAsia" w:ascii="仿宋_GB2312" w:eastAsia="仿宋_GB2312"/>
          <w:sz w:val="32"/>
          <w:szCs w:val="32"/>
          <w:lang w:val="en-US" w:eastAsia="zh-CN"/>
        </w:rPr>
        <w:t xml:space="preserve">  </w:t>
      </w:r>
      <w:r>
        <w:rPr>
          <w:rFonts w:hint="eastAsia" w:ascii="仿宋_GB2312" w:eastAsia="仿宋_GB2312"/>
          <w:sz w:val="32"/>
          <w:szCs w:val="32"/>
        </w:rPr>
        <w:t>本</w:t>
      </w:r>
      <w:r>
        <w:rPr>
          <w:rFonts w:hint="eastAsia" w:ascii="仿宋_GB2312" w:eastAsia="仿宋_GB2312"/>
          <w:sz w:val="32"/>
          <w:szCs w:val="32"/>
          <w:lang w:eastAsia="zh-CN"/>
        </w:rPr>
        <w:t>办</w:t>
      </w:r>
      <w:r>
        <w:rPr>
          <w:rFonts w:hint="eastAsia" w:ascii="仿宋_GB2312" w:eastAsia="仿宋_GB2312"/>
          <w:sz w:val="32"/>
          <w:szCs w:val="32"/>
        </w:rPr>
        <w:t>法由市财政局、市住</w:t>
      </w:r>
      <w:r>
        <w:rPr>
          <w:rFonts w:hint="eastAsia" w:ascii="仿宋_GB2312" w:eastAsia="仿宋_GB2312"/>
          <w:sz w:val="32"/>
          <w:szCs w:val="32"/>
          <w:lang w:eastAsia="zh-CN"/>
        </w:rPr>
        <w:t>房城乡</w:t>
      </w:r>
      <w:r>
        <w:rPr>
          <w:rFonts w:hint="eastAsia" w:ascii="仿宋_GB2312" w:eastAsia="仿宋_GB2312"/>
          <w:sz w:val="32"/>
          <w:szCs w:val="32"/>
        </w:rPr>
        <w:t>建</w:t>
      </w:r>
      <w:r>
        <w:rPr>
          <w:rFonts w:hint="eastAsia" w:ascii="仿宋_GB2312" w:eastAsia="仿宋_GB2312"/>
          <w:sz w:val="32"/>
          <w:szCs w:val="32"/>
          <w:lang w:eastAsia="zh-CN"/>
        </w:rPr>
        <w:t>设</w:t>
      </w:r>
      <w:r>
        <w:rPr>
          <w:rFonts w:hint="eastAsia" w:ascii="仿宋_GB2312" w:eastAsia="仿宋_GB2312"/>
          <w:sz w:val="32"/>
          <w:szCs w:val="32"/>
        </w:rPr>
        <w:t>局负责解释。</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宋体"/>
          <w:sz w:val="32"/>
          <w:szCs w:val="32"/>
          <w:lang w:val="en-US" w:eastAsia="zh-CN"/>
        </w:rPr>
      </w:pPr>
      <w:r>
        <w:rPr>
          <w:rFonts w:hint="eastAsia" w:ascii="黑体" w:hAnsi="黑体" w:eastAsia="黑体" w:cs="黑体"/>
          <w:b w:val="0"/>
          <w:bCs/>
          <w:sz w:val="32"/>
          <w:szCs w:val="32"/>
        </w:rPr>
        <w:t>第十</w:t>
      </w: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条</w:t>
      </w:r>
      <w:r>
        <w:rPr>
          <w:rFonts w:hint="eastAsia" w:ascii="仿宋_GB2312" w:eastAsia="仿宋_GB2312"/>
          <w:sz w:val="32"/>
          <w:szCs w:val="32"/>
          <w:lang w:val="en-US" w:eastAsia="zh-CN"/>
        </w:rPr>
        <w:t xml:space="preserve">  </w:t>
      </w:r>
      <w:r>
        <w:rPr>
          <w:rFonts w:hint="eastAsia" w:ascii="仿宋_GB2312" w:eastAsia="仿宋_GB2312"/>
          <w:sz w:val="32"/>
          <w:szCs w:val="32"/>
        </w:rPr>
        <w:t>本办法自公布之日起实施，</w:t>
      </w:r>
      <w:r>
        <w:rPr>
          <w:rFonts w:hint="eastAsia" w:ascii="仿宋_GB2312" w:eastAsia="仿宋_GB2312" w:cs="宋体"/>
          <w:sz w:val="32"/>
          <w:szCs w:val="32"/>
        </w:rPr>
        <w:t>有效期</w:t>
      </w:r>
      <w:r>
        <w:rPr>
          <w:rFonts w:hint="eastAsia" w:ascii="仿宋_GB2312" w:eastAsia="仿宋_GB2312" w:cs="宋体"/>
          <w:sz w:val="32"/>
          <w:szCs w:val="32"/>
          <w:lang w:val="en-US" w:eastAsia="zh-CN"/>
        </w:rPr>
        <w:t>2</w:t>
      </w:r>
      <w:r>
        <w:rPr>
          <w:rFonts w:hint="eastAsia" w:ascii="仿宋_GB2312" w:eastAsia="仿宋_GB2312" w:cs="宋体"/>
          <w:sz w:val="32"/>
          <w:szCs w:val="32"/>
        </w:rPr>
        <w:t>年</w:t>
      </w:r>
      <w:r>
        <w:rPr>
          <w:rFonts w:hint="eastAsia" w:ascii="仿宋_GB2312" w:eastAsia="仿宋_GB2312" w:cs="宋体"/>
          <w:sz w:val="32"/>
          <w:szCs w:val="32"/>
          <w:lang w:eastAsia="zh-CN"/>
        </w:rPr>
        <w:t>。</w:t>
      </w:r>
    </w:p>
    <w:p>
      <w:pPr>
        <w:pStyle w:val="4"/>
        <w:keepNext w:val="0"/>
        <w:keepLines w:val="0"/>
        <w:pageBreakBefore w:val="0"/>
        <w:kinsoku/>
        <w:wordWrap/>
        <w:overflowPunct/>
        <w:topLinePunct w:val="0"/>
        <w:autoSpaceDE/>
        <w:autoSpaceDN/>
        <w:bidi w:val="0"/>
        <w:adjustRightInd/>
        <w:spacing w:line="600" w:lineRule="exact"/>
        <w:textAlignment w:val="auto"/>
        <w:rPr>
          <w:rFonts w:hint="eastAsia" w:ascii="仿宋_GB2312" w:hAnsi="Tahoma" w:eastAsia="仿宋_GB2312" w:cs="Tahoma"/>
          <w:color w:val="000000"/>
          <w:kern w:val="0"/>
          <w:sz w:val="32"/>
          <w:szCs w:val="32"/>
          <w:lang w:val="en-US" w:eastAsia="zh-CN"/>
        </w:rPr>
      </w:pPr>
    </w:p>
    <w:p>
      <w:pPr>
        <w:pStyle w:val="4"/>
        <w:keepNext w:val="0"/>
        <w:keepLines w:val="0"/>
        <w:pageBreakBefore w:val="0"/>
        <w:kinsoku/>
        <w:wordWrap/>
        <w:overflowPunct/>
        <w:topLinePunct w:val="0"/>
        <w:autoSpaceDE/>
        <w:autoSpaceDN/>
        <w:bidi w:val="0"/>
        <w:adjustRightInd/>
        <w:spacing w:line="600" w:lineRule="exact"/>
        <w:textAlignment w:val="auto"/>
        <w:rPr>
          <w:rFonts w:hint="eastAsia" w:ascii="仿宋_GB2312" w:hAnsi="Tahoma" w:eastAsia="仿宋_GB2312" w:cs="Tahoma"/>
          <w:color w:val="000000"/>
          <w:kern w:val="0"/>
          <w:sz w:val="32"/>
          <w:szCs w:val="32"/>
          <w:lang w:val="en-US" w:eastAsia="zh-CN"/>
        </w:rPr>
      </w:pPr>
    </w:p>
    <w:p>
      <w:pPr>
        <w:pStyle w:val="4"/>
        <w:keepNext w:val="0"/>
        <w:keepLines w:val="0"/>
        <w:pageBreakBefore w:val="0"/>
        <w:kinsoku/>
        <w:wordWrap/>
        <w:overflowPunct/>
        <w:topLinePunct w:val="0"/>
        <w:autoSpaceDE/>
        <w:autoSpaceDN/>
        <w:bidi w:val="0"/>
        <w:adjustRightInd/>
        <w:spacing w:line="600" w:lineRule="exact"/>
        <w:textAlignment w:val="auto"/>
        <w:rPr>
          <w:rFonts w:hint="eastAsia" w:ascii="仿宋_GB2312" w:hAnsi="Tahoma" w:eastAsia="仿宋_GB2312" w:cs="Tahoma"/>
          <w:color w:val="000000"/>
          <w:kern w:val="0"/>
          <w:sz w:val="32"/>
          <w:szCs w:val="32"/>
          <w:lang w:val="en-US" w:eastAsia="zh-CN"/>
        </w:rPr>
      </w:pPr>
    </w:p>
    <w:p>
      <w:pPr>
        <w:pStyle w:val="4"/>
        <w:keepNext w:val="0"/>
        <w:keepLines w:val="0"/>
        <w:pageBreakBefore w:val="0"/>
        <w:kinsoku/>
        <w:wordWrap/>
        <w:overflowPunct/>
        <w:topLinePunct w:val="0"/>
        <w:autoSpaceDE/>
        <w:autoSpaceDN/>
        <w:bidi w:val="0"/>
        <w:adjustRightInd/>
        <w:spacing w:line="600" w:lineRule="exact"/>
        <w:textAlignment w:val="auto"/>
        <w:rPr>
          <w:rFonts w:hint="eastAsia" w:ascii="仿宋_GB2312" w:hAnsi="Tahoma" w:eastAsia="仿宋_GB2312" w:cs="Tahoma"/>
          <w:color w:val="000000"/>
          <w:kern w:val="0"/>
          <w:sz w:val="32"/>
          <w:szCs w:val="32"/>
          <w:lang w:val="en-US" w:eastAsia="zh-CN"/>
        </w:rPr>
      </w:pPr>
    </w:p>
    <w:p>
      <w:pPr>
        <w:pStyle w:val="2"/>
        <w:keepNext w:val="0"/>
        <w:keepLines w:val="0"/>
        <w:pageBreakBefore w:val="0"/>
        <w:widowControl/>
        <w:kinsoku/>
        <w:wordWrap/>
        <w:overflowPunct/>
        <w:topLinePunct w:val="0"/>
        <w:autoSpaceDE/>
        <w:autoSpaceDN/>
        <w:bidi w:val="0"/>
        <w:spacing w:line="560" w:lineRule="exact"/>
        <w:textAlignment w:val="auto"/>
        <w:rPr>
          <w:rFonts w:hint="eastAsia"/>
        </w:rPr>
      </w:pPr>
      <w:bookmarkStart w:id="0" w:name="OLE_LINK1"/>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napToGrid/>
        <w:spacing w:line="520" w:lineRule="exact"/>
        <w:ind w:firstLine="280" w:firstLineChars="100"/>
        <w:textAlignment w:val="auto"/>
        <w:rPr>
          <w:rFonts w:hint="eastAsia" w:ascii="仿宋" w:hAnsi="仿宋" w:eastAsia="仿宋" w:cs="仿宋"/>
          <w:sz w:val="32"/>
          <w:szCs w:val="32"/>
        </w:rPr>
      </w:pPr>
      <w:r>
        <w:rPr>
          <w:rFonts w:hint="eastAsia" w:ascii="仿宋" w:hAnsi="仿宋" w:eastAsia="仿宋"/>
          <w:spacing w:val="0"/>
          <w:sz w:val="28"/>
          <w:szCs w:val="28"/>
        </w:rPr>
        <w:t xml:space="preserve">长沙市住房和城乡建设局办公室        </w:t>
      </w:r>
      <w:r>
        <w:rPr>
          <w:rFonts w:hint="eastAsia" w:ascii="仿宋" w:hAnsi="仿宋" w:eastAsia="仿宋"/>
          <w:spacing w:val="0"/>
          <w:sz w:val="28"/>
          <w:szCs w:val="28"/>
          <w:lang w:val="en-US" w:eastAsia="zh-CN"/>
        </w:rPr>
        <w:t xml:space="preserve">    </w:t>
      </w:r>
      <w:r>
        <w:rPr>
          <w:rFonts w:hint="eastAsia" w:ascii="仿宋" w:hAnsi="仿宋" w:eastAsia="仿宋"/>
          <w:spacing w:val="0"/>
          <w:sz w:val="28"/>
          <w:szCs w:val="28"/>
        </w:rPr>
        <w:t>202</w:t>
      </w:r>
      <w:r>
        <w:rPr>
          <w:rFonts w:hint="eastAsia" w:ascii="仿宋" w:hAnsi="仿宋"/>
          <w:spacing w:val="0"/>
          <w:sz w:val="28"/>
          <w:szCs w:val="28"/>
          <w:lang w:val="en-US" w:eastAsia="zh-CN"/>
        </w:rPr>
        <w:t>6</w:t>
      </w:r>
      <w:r>
        <w:rPr>
          <w:rFonts w:hint="eastAsia" w:ascii="仿宋" w:hAnsi="仿宋" w:eastAsia="仿宋"/>
          <w:spacing w:val="0"/>
          <w:sz w:val="28"/>
          <w:szCs w:val="28"/>
        </w:rPr>
        <w:t>年</w:t>
      </w:r>
      <w:r>
        <w:rPr>
          <w:rFonts w:hint="eastAsia" w:ascii="仿宋" w:hAnsi="仿宋"/>
          <w:spacing w:val="0"/>
          <w:sz w:val="28"/>
          <w:szCs w:val="28"/>
          <w:lang w:val="en-US" w:eastAsia="zh-CN"/>
        </w:rPr>
        <w:t>2</w:t>
      </w:r>
      <w:r>
        <w:rPr>
          <w:rFonts w:hint="eastAsia" w:ascii="仿宋" w:hAnsi="仿宋" w:eastAsia="仿宋"/>
          <w:spacing w:val="0"/>
          <w:sz w:val="28"/>
          <w:szCs w:val="28"/>
        </w:rPr>
        <w:t>月</w:t>
      </w:r>
      <w:r>
        <w:rPr>
          <w:rFonts w:hint="eastAsia" w:ascii="仿宋" w:hAnsi="仿宋"/>
          <w:spacing w:val="0"/>
          <w:sz w:val="28"/>
          <w:szCs w:val="28"/>
          <w:lang w:val="en-US" w:eastAsia="zh-CN"/>
        </w:rPr>
        <w:t>12</w:t>
      </w:r>
      <w:r>
        <w:rPr>
          <w:rFonts w:hint="eastAsia" w:ascii="仿宋" w:hAnsi="仿宋" w:eastAsia="仿宋"/>
          <w:spacing w:val="0"/>
          <w:sz w:val="28"/>
          <w:szCs w:val="28"/>
        </w:rPr>
        <w:t>日印发</w:t>
      </w:r>
      <w:bookmarkEnd w:id="0"/>
    </w:p>
    <w:sectPr>
      <w:pgSz w:w="11906" w:h="16838"/>
      <w:pgMar w:top="2098" w:right="1474" w:bottom="1984" w:left="1587" w:header="851" w:footer="1417"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00"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8B3753"/>
    <w:rsid w:val="111337E9"/>
    <w:rsid w:val="11CB6A2E"/>
    <w:rsid w:val="1331229A"/>
    <w:rsid w:val="16E74D37"/>
    <w:rsid w:val="2B530DAC"/>
    <w:rsid w:val="3EF9E173"/>
    <w:rsid w:val="46807866"/>
    <w:rsid w:val="4E321DA5"/>
    <w:rsid w:val="67723872"/>
    <w:rsid w:val="67D02C99"/>
    <w:rsid w:val="73A72A0E"/>
    <w:rsid w:val="7FCBE046"/>
    <w:rsid w:val="93FF19BE"/>
    <w:rsid w:val="BBF78BC9"/>
    <w:rsid w:val="ECDF306A"/>
    <w:rsid w:val="F5F3A5C4"/>
    <w:rsid w:val="F66DFDC1"/>
    <w:rsid w:val="FF07A52A"/>
    <w:rsid w:val="FF772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toc 5"/>
    <w:basedOn w:val="1"/>
    <w:next w:val="1"/>
    <w:semiHidden/>
    <w:qFormat/>
    <w:uiPriority w:val="99"/>
    <w:pPr>
      <w:ind w:firstLine="643" w:firstLineChars="200"/>
    </w:pPr>
    <w:rPr>
      <w:rFonts w:ascii="仿宋" w:hAnsi="仿宋" w:eastAsia="仿宋" w:cs="仿宋"/>
      <w:b/>
      <w:bCs/>
    </w:rPr>
  </w:style>
  <w:style w:type="paragraph" w:styleId="4">
    <w:name w:val="endnote text"/>
    <w:basedOn w:val="1"/>
    <w:qFormat/>
    <w:uiPriority w:val="0"/>
    <w:pPr>
      <w:snapToGrid w:val="0"/>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2"/>
    <w:basedOn w:val="1"/>
    <w:unhideWhenUsed/>
    <w:qFormat/>
    <w:uiPriority w:val="99"/>
    <w:pPr>
      <w:spacing w:line="360" w:lineRule="auto"/>
    </w:pPr>
    <w:rPr>
      <w:rFonts w:eastAsia="仿宋_GB2312"/>
      <w:sz w:val="32"/>
      <w:szCs w:val="3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33</Words>
  <Characters>33</Characters>
  <Lines>0</Lines>
  <Paragraphs>0</Paragraphs>
  <TotalTime>0</TotalTime>
  <ScaleCrop>false</ScaleCrop>
  <LinksUpToDate>false</LinksUpToDate>
  <CharactersWithSpaces>33</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2021-08-08T01:06:00Z</dcterms:created>
  <dc:creator>lenovo0232</dc:creator>
  <cp:lastModifiedBy>kylin</cp:lastModifiedBy>
  <cp:lastPrinted>2026-02-13T17:37:00Z</cp:lastPrinted>
  <dcterms:modified xsi:type="dcterms:W3CDTF">2026-02-24T11:55:10Z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KSOTemplateDocerSaveRecord">
    <vt:lpwstr>eyJoZGlkIjoiODdjNGM5OGU2N2EyZDA5N2M1NGIyZjU5MmZhMDdiYjYiLCJ1c2VySWQiOiIxMDYxODQ3MTIyIn0=</vt:lpwstr>
  </property>
  <property fmtid="{D5CDD505-2E9C-101B-9397-08002B2CF9AE}" pid="4" name="ICV">
    <vt:lpwstr>44455FE15B3C4C08A5958D6906EB02E8_43</vt:lpwstr>
  </property>
</Properties>
</file>