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88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888" w:hRule="exact"/>
        </w:trPr>
        <w:tc>
          <w:tcPr>
            <w:tcW w:w="8859"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黑体" w:eastAsia="黑体" w:cs="黑体"/>
              </w:rPr>
            </w:pPr>
            <w:r>
              <w:rPr>
                <w:sz w:val="32"/>
              </w:rPr>
              <mc:AlternateContent>
                <mc:Choice Requires="wpg">
                  <w:drawing>
                    <wp:anchor distT="0" distB="0" distL="114300" distR="114300" simplePos="0" relativeHeight="251661312" behindDoc="0" locked="0" layoutInCell="1" hidden="1" allowOverlap="1">
                      <wp:simplePos x="0" y="0"/>
                      <wp:positionH relativeFrom="column">
                        <wp:posOffset>-629285</wp:posOffset>
                      </wp:positionH>
                      <wp:positionV relativeFrom="paragraph">
                        <wp:posOffset>-1263015</wp:posOffset>
                      </wp:positionV>
                      <wp:extent cx="6695440" cy="2820035"/>
                      <wp:effectExtent l="0" t="0" r="0" b="0"/>
                      <wp:wrapNone/>
                      <wp:docPr id="6" name="红头位置" hidden="1"/>
                      <wp:cNvGraphicFramePr/>
                      <a:graphic xmlns:a="http://schemas.openxmlformats.org/drawingml/2006/main">
                        <a:graphicData uri="http://schemas.microsoft.com/office/word/2010/wordprocessingGroup">
                          <wpg:wgp>
                            <wpg:cNvGrpSpPr/>
                            <wpg:grpSpPr>
                              <a:xfrm>
                                <a:off x="0" y="0"/>
                                <a:ext cx="6695440" cy="2820035"/>
                                <a:chOff x="2933" y="271"/>
                                <a:chExt cx="10544" cy="4441"/>
                              </a:xfrm>
                            </wpg:grpSpPr>
                            <wps:wsp>
                              <wps:cNvPr id="4" name="直线 3"/>
                              <wps:cNvCnPr/>
                              <wps:spPr>
                                <a:xfrm>
                                  <a:off x="5389" y="271"/>
                                  <a:ext cx="1" cy="4422"/>
                                </a:xfrm>
                                <a:prstGeom prst="line">
                                  <a:avLst/>
                                </a:prstGeom>
                                <a:ln w="15875" cap="flat" cmpd="sng">
                                  <a:solidFill>
                                    <a:srgbClr val="739CC3"/>
                                  </a:solidFill>
                                  <a:prstDash val="solid"/>
                                  <a:headEnd type="none" w="med" len="med"/>
                                  <a:tailEnd type="none" w="med" len="med"/>
                                </a:ln>
                              </wps:spPr>
                              <wps:bodyPr upright="1"/>
                            </wps:wsp>
                            <wps:wsp>
                              <wps:cNvPr id="5" name="直线 4"/>
                              <wps:cNvCnPr/>
                              <wps:spPr>
                                <a:xfrm>
                                  <a:off x="2933" y="4712"/>
                                  <a:ext cx="10545" cy="1"/>
                                </a:xfrm>
                                <a:prstGeom prst="line">
                                  <a:avLst/>
                                </a:prstGeom>
                                <a:ln w="15875" cap="flat" cmpd="sng">
                                  <a:solidFill>
                                    <a:srgbClr val="739CC3"/>
                                  </a:solidFill>
                                  <a:prstDash val="solid"/>
                                  <a:headEnd type="none" w="med" len="med"/>
                                  <a:tailEnd type="none" w="med" len="med"/>
                                </a:ln>
                              </wps:spPr>
                              <wps:bodyPr upright="1"/>
                            </wps:wsp>
                          </wpg:wgp>
                        </a:graphicData>
                      </a:graphic>
                    </wp:anchor>
                  </w:drawing>
                </mc:Choice>
                <mc:Fallback>
                  <w:pict>
                    <v:group id="红头位置" o:spid="_x0000_s1026" o:spt="203" style="position:absolute;left:0pt;margin-left:-49.55pt;margin-top:-99.45pt;height:222.05pt;width:527.2pt;visibility:hidden;z-index:251661312;mso-width-relative:page;mso-height-relative:page;" coordorigin="2933,271" coordsize="10544,4441" o:gfxdata="UEsFBgAAAAAAAAAAAAAAAAAAAAAAAFBLAwQKAAAAAACHTuJAAAAAAAAAAAAAAAAABAAAAGRycy9Q&#10;SwMEFAAAAAgAh07iQMz5Q9jcAAAADAEAAA8AAABkcnMvZG93bnJldi54bWxNj8tOwzAQRfdI/IM1&#10;SOxax4GgOsSpxHNTdZGWSl26yZBEtcdR7DaFr8esYDejObpzbrG8WMPOOPrekQIxT4Ah1a7pqVXw&#10;sX2bLYD5oKnRxhEq+EIPy/L6qtB54yaq8LwJLYsh5HOtoAthyDn3dYdW+7kbkOLt041Wh7iOLW9G&#10;PcVwa3iaJA/c6p7ih04P+NxhfdycrIL36WW3XYX903GNr99mlYnKVEKp2xuRPAILeAl/MPzqR3Uo&#10;o9PBnajxzCiYSSkiGgchFxJYRGSW3QE7KEjvsxR4WfD/JcofUEsDBBQAAAAIAIdO4kDnmtJ/mAIA&#10;ACAHAAAOAAAAZHJzL2Uyb0RvYy54bWztVTtu2zAY3gv0DgT3Rn7IL8FyBjvJUrQB0h6AoSiJAEUS&#10;JG3Zh+gJuhWdO2UKEOQyLXKN/qRkpXY7uC3QqYtM8n9/30d6fr6tBNowY7mSKe6f9TBikqqMyyLF&#10;799dvppiZB2RGRFKshTvmMXni5cv5rVO2ECVSmTMIEgibVLrFJfO6SSKLC1ZReyZ0kyCMVemIg62&#10;pogyQ2rIXolo0OuNo1qZTBtFmbVwumqMuM1oTkmo8pxTtlJ0XTHpmqyGCeJgJFtybfEidJvnjLq3&#10;eW6ZQyLFMKkLXygC61v/jRZzkhSG6JLTtgVySgtHM1WESyjapVoRR9Da8J9SVZwaZVXuzqiqomaQ&#10;gAhM0e8dYXNl1FqHWYqkLnQHOhB1hPofp6VvNtcG8SzFY4wkqYDwp/tP3z7ffX348PTwBaOSZxnz&#10;QvFQ1bpIIOLK6Bt9bdqDotn56be5qfwvzIW2AeRdBzLbOkThcDyejeIY8KdgG0xBEsNRQwMtgSsf&#10;N5gNhxh58ySUJQktL9rwfg+im+A4joM52heOfH9dO7UGgdpn1OzfoXZTEs0CGdZj0KIGrbSofbx7&#10;un9Ewwam4LKULUY2sQDXLwAaDaezw0H3KPX3Iw4GPmM3Ikm0se6KqQr5RYoFl74rkpDNa+sa172L&#10;PxYS1cDeaDoZQUoCFzaHiwLLSgPpVhYh2CrBs0suhA+xprhdCoM2BC7NZDhbLsNU0MOBm6+yIrZs&#10;/IKp4bFkJLuQGXI7DXKS8Ipg30PFMoyE15JfQackcYSLUzyhtJCAgqe0gdKvblW2AxrW2vCiBCga&#10;MbS0e7H+A/4B1AP+49/ivxN6POkHnknSCQB07hmDW3Ao8v8KOFkB4T2AhzPcn/aR9y/zj/ugquc/&#10;tsV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FgAAAGRycy9QSwECFAAUAAAACACHTuJAzPlD2NwAAAAMAQAADwAAAAAAAAABACAAAAA4AAAA&#10;ZHJzL2Rvd25yZXYueG1sUEsBAhQAFAAAAAgAh07iQOea0n+YAgAAIAcAAA4AAAAAAAAAAQAgAAAA&#10;QQEAAGRycy9lMm9Eb2MueG1sUEsFBgAAAAAGAAYAWQEAAEsGAAAAAA==&#10;">
                      <o:lock v:ext="edit" aspectratio="f"/>
                      <v:line id="直线 3" o:spid="_x0000_s1026" o:spt="20" style="position:absolute;left:5389;top:271;height:4422;width:1;" filled="f" stroked="t" coordsize="21600,21600" o:gfxdata="UEsFBgAAAAAAAAAAAAAAAAAAAAAAAFBLAwQKAAAAAACHTuJAAAAAAAAAAAAAAAAABAAAAGRycy9Q&#10;SwMEFAAAAAgAh07iQB2AI7m4AAAA2gAAAA8AAABkcnMvZG93bnJldi54bWxFj0GLwjAUhO/C/ofw&#10;FvamacsiUo0FhQXxtip4fSTPtti8lCSr8d9vBMHjMDPfMKsm2UHcyIfesYJyVoAg1s703Co4HX+m&#10;CxAhIhscHJOCBwVo1h+TFdbG3fmXbofYigzhUKOCLsaxljLojiyGmRuJs3dx3mLM0rfSeLxnuB1k&#10;VRRzabHnvNDhSNuO9PXwZxVoHy7ndEr7RTJIm33ldUVeqa/PsliCiJTiO/xq74yCb3heyTdArv8B&#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B2AI7m4AAAA2gAAAA8AAAAAAAAAAQAgAAAAOAAAAGRycy9kb3ducmV2LnhtbFBL&#10;AQIUABQAAAAIAIdO4kAzLwWeOwAAADkAAAAQAAAAAAAAAAEAIAAAAB0BAABkcnMvc2hhcGV4bWwu&#10;eG1sUEsFBgAAAAAGAAYAWwEAAMcDAAAAAA==&#10;">
                        <v:fill on="f" focussize="0,0"/>
                        <v:stroke weight="1.25pt" color="#739CC3" joinstyle="round"/>
                        <v:imagedata o:title=""/>
                        <o:lock v:ext="edit" aspectratio="f"/>
                      </v:line>
                      <v:line id="直线 4" o:spid="_x0000_s1026" o:spt="20" style="position:absolute;left:2933;top:4712;height:1;width:10545;" filled="f" stroked="t" coordsize="21600,21600" o:gfxdata="UEsFBgAAAAAAAAAAAAAAAAAAAAAAAFBLAwQKAAAAAACHTuJAAAAAAAAAAAAAAAAABAAAAGRycy9Q&#10;SwMEFAAAAAgAh07iQHLMhiK4AAAA2gAAAA8AAABkcnMvZG93bnJldi54bWxFj0GLwjAUhO/C/ofw&#10;FvamaQsrUo0FhQXxtip4fSTPtti8lCSr8d9vBMHjMDPfMKsm2UHcyIfesYJyVoAg1s703Co4HX+m&#10;CxAhIhscHJOCBwVo1h+TFdbG3fmXbofYigzhUKOCLsaxljLojiyGmRuJs3dx3mLM0rfSeLxnuB1k&#10;VRRzabHnvNDhSNuO9PXwZxVoHy7ndEr7RTJIm33ldUVeqa/PsliCiJTiO/xq74yCb3heyTdArv8B&#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HLMhiK4AAAA2gAAAA8AAAAAAAAAAQAgAAAAOAAAAGRycy9kb3ducmV2LnhtbFBL&#10;AQIUABQAAAAIAIdO4kAzLwWeOwAAADkAAAAQAAAAAAAAAAEAIAAAAB0BAABkcnMvc2hhcGV4bWwu&#10;eG1sUEsFBgAAAAAGAAYAWwEAAMcDAAAAAA==&#10;">
                        <v:fill on="f" focussize="0,0"/>
                        <v:stroke weight="1.25pt" color="#739CC3" joinstyle="round"/>
                        <v:imagedata o:title=""/>
                        <o:lock v:ext="edit" aspectratio="f"/>
                      </v:line>
                    </v:group>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2742565</wp:posOffset>
                      </wp:positionH>
                      <wp:positionV relativeFrom="paragraph">
                        <wp:posOffset>-1250950</wp:posOffset>
                      </wp:positionV>
                      <wp:extent cx="7620" cy="4446270"/>
                      <wp:effectExtent l="0" t="0" r="0" b="0"/>
                      <wp:wrapNone/>
                      <wp:docPr id="8" name="横线位置" hidden="1"/>
                      <wp:cNvGraphicFramePr/>
                      <a:graphic xmlns:a="http://schemas.openxmlformats.org/drawingml/2006/main">
                        <a:graphicData uri="http://schemas.microsoft.com/office/word/2010/wordprocessingShape">
                          <wps:wsp>
                            <wps:cNvCnPr/>
                            <wps:spPr>
                              <a:xfrm>
                                <a:off x="0" y="0"/>
                                <a:ext cx="7620" cy="4446270"/>
                              </a:xfrm>
                              <a:prstGeom prst="line">
                                <a:avLst/>
                              </a:prstGeom>
                              <a:ln w="15875" cap="flat" cmpd="sng">
                                <a:solidFill>
                                  <a:srgbClr val="739CC3"/>
                                </a:solidFill>
                                <a:prstDash val="solid"/>
                                <a:headEnd type="none" w="med" len="med"/>
                                <a:tailEnd type="none" w="med" len="med"/>
                              </a:ln>
                            </wps:spPr>
                            <wps:bodyPr upright="1"/>
                          </wps:wsp>
                        </a:graphicData>
                      </a:graphic>
                    </wp:anchor>
                  </w:drawing>
                </mc:Choice>
                <mc:Fallback>
                  <w:pict>
                    <v:line id="横线位置" o:spid="_x0000_s1026" o:spt="20" style="position:absolute;left:0pt;margin-left:215.95pt;margin-top:-98.5pt;height:350.1pt;width:0.6pt;visibility:hidden;z-index:251663360;mso-width-relative:page;mso-height-relative:page;" filled="f" stroked="t" coordsize="21600,21600" o:gfxdata="UEsFBgAAAAAAAAAAAAAAAAAAAAAAAFBLAwQKAAAAAACHTuJAAAAAAAAAAAAAAAAABAAAAGRycy9Q&#10;SwMEFAAAAAgAh07iQC8ZK8HaAAAADAEAAA8AAABkcnMvZG93bnJldi54bWxNj8tOwzAQRfdI/IM1&#10;SOxaJ3VLaYjTBVJZVjSA2E5ik0SNx5HtPvh7hhUsR3N077nl9upGcbYhDp405PMMhKXWm4E6De9v&#10;u9kjiJiQDI6erIZvG2Fb3d6UWBh/oYM916kTHEKxQA19SlMhZWx76zDO/WSJf18+OEx8hk6agBcO&#10;d6NcZNmDdDgQN/Q42efetsf65DTsp+YFw/qAU00fZvX5ujuq/aj1/V2ePYFI9pr+YPjVZ3Wo2Knx&#10;JzJRjBqWKt8wqmGWb9a8ipGlUjmIRsMqUwuQVSn/j6h+AFBLAwQUAAAACACHTuJAUuUx6f8BAADu&#10;AwAADgAAAGRycy9lMm9Eb2MueG1srVNLjhMxEN0jcQfLe9KZTCYZWunMImHYIBgJOEDFn25L/sl2&#10;0skhuAdiwQGQRlwGMdeg7A4ZGDZZsOku21Wv6j0/L272RpOdCFE529CL0ZgSYZnjyrYN/fjh9sU1&#10;JTGB5aCdFQ09iEhvls+fLXpfi4nrnOYiEASxse59Q7uUfF1VkXXCQBw5LyweShcMJFyGtuIBekQ3&#10;upqMx7Oqd4H74JiIEXfXwyE9IoZzAJ2Uiom1Y1sjbBpQg9CQkFLslI90WaaVUrD0TsooEtENRaap&#10;fLEJxpv8rZYLqNsAvlPsOAKcM8ITTgaUxaYnqDUkINug/oEyigUXnUwj5kw1ECmKIIuL8RNt3nfg&#10;ReGCUkd/Ej3+P1j2dncXiOINxWu3YPDCf37+8vDt+4/7Tw/3XynpFOciGyVL1ftYY8XK3oXjKvq7&#10;kHnvZTD5j4zIvsh7OMkr9okw3JzPJig7w4PpdDqbzIv61WOtDzG9Fs6QHDRUK5vJQw27NzFhP0z9&#10;nZK3tSU9znV1Pb9CVEArSrQAhsYjnWjbUhydVvxWaZ1LYmg3Kx3IDtAO88uXq9VlpoXAf6XlLmuI&#10;3ZBXjgajdAL4K8tJOngUyuL7oHkGIzglOquUIwSEOoHS52Ria21xgqzsoGWONo4f8Fq2Pqi2QymK&#10;+CUHbVDmPVo2++zPdUF6fKbL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C8ZK8HaAAAADAEAAA8A&#10;AAAAAAAAAQAgAAAAOAAAAGRycy9kb3ducmV2LnhtbFBLAQIUABQAAAAIAIdO4kBS5THp/wEAAO4D&#10;AAAOAAAAAAAAAAEAIAAAAD8BAABkcnMvZTJvRG9jLnhtbFBLBQYAAAAABgAGAFkBAACwBQAAAAA=&#10;">
                      <v:fill on="f" focussize="0,0"/>
                      <v:stroke weight="1.25pt" color="#739CC3"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黑体" w:eastAsia="黑体" w:cs="黑体"/>
                <w:szCs w:val="32"/>
              </w:rPr>
            </w:pPr>
            <w:r>
              <w:rPr>
                <w:rFonts w:ascii="Times New Roman" w:hAnsi="Times New Roman" w:eastAsia="仿宋_GB2312" w:cs="Times New Roman"/>
                <w:sz w:val="32"/>
              </w:rPr>
              <w:t>CSCR-2026-02002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191" w:hRule="atLeast"/>
        </w:trPr>
        <w:tc>
          <w:tcPr>
            <w:tcW w:w="8859"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118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FF0000"/>
                <w:sz w:val="110"/>
                <w:szCs w:val="110"/>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794" w:hRule="exact"/>
        </w:trPr>
        <w:tc>
          <w:tcPr>
            <w:tcW w:w="8859" w:type="dxa"/>
            <w:tcBorders>
              <w:tl2br w:val="nil"/>
              <w:tr2bl w:val="nil"/>
            </w:tcBorders>
            <w:noWrap w:val="0"/>
            <w:vAlign w:val="center"/>
          </w:tcPr>
          <w:p>
            <w:pPr>
              <w:keepNext w:val="0"/>
              <w:keepLines w:val="0"/>
              <w:pageBreakBefore w:val="0"/>
              <w:widowControl w:val="0"/>
              <w:kinsoku/>
              <w:overflowPunct/>
              <w:topLinePunct w:val="0"/>
              <w:autoSpaceDE/>
              <w:bidi w:val="0"/>
              <w:spacing w:line="240" w:lineRule="auto"/>
              <w:jc w:val="both"/>
              <w:textAlignment w:val="auto"/>
              <w:outlineLvl w:val="9"/>
              <w:rPr>
                <w:rFonts w:hint="eastAsia" w:ascii="仿宋_GB2312" w:hAnsi="仿宋_GB23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247" w:hRule="atLeast"/>
        </w:trPr>
        <w:tc>
          <w:tcPr>
            <w:tcW w:w="8859" w:type="dxa"/>
            <w:tcBorders>
              <w:tl2br w:val="nil"/>
              <w:tr2bl w:val="nil"/>
            </w:tcBorders>
            <w:noWrap w:val="0"/>
            <w:vAlign w:val="bottom"/>
          </w:tcPr>
          <w:p>
            <w:pPr>
              <w:keepNext w:val="0"/>
              <w:keepLines w:val="0"/>
              <w:pageBreakBefore w:val="0"/>
              <w:widowControl w:val="0"/>
              <w:kinsoku/>
              <w:wordWrap w:val="0"/>
              <w:overflowPunct/>
              <w:topLinePunct w:val="0"/>
              <w:autoSpaceDE/>
              <w:autoSpaceDN/>
              <w:bidi w:val="0"/>
              <w:adjustRightInd/>
              <w:snapToGrid/>
              <w:spacing w:line="240" w:lineRule="auto"/>
              <w:ind w:left="0" w:leftChars="0" w:right="210" w:rightChars="100" w:firstLine="0" w:firstLineChars="0"/>
              <w:jc w:val="center"/>
              <w:textAlignment w:val="auto"/>
              <w:outlineLvl w:val="9"/>
              <w:rPr>
                <w:rFonts w:hint="eastAsia" w:ascii="楷体" w:hAnsi="楷体" w:eastAsia="楷体" w:cs="楷体"/>
                <w:szCs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67310</wp:posOffset>
                      </wp:positionH>
                      <wp:positionV relativeFrom="page">
                        <wp:posOffset>402590</wp:posOffset>
                      </wp:positionV>
                      <wp:extent cx="5314950" cy="457200"/>
                      <wp:effectExtent l="0" t="0" r="0" b="0"/>
                      <wp:wrapNone/>
                      <wp:docPr id="2" name="文本框 8"/>
                      <wp:cNvGraphicFramePr/>
                      <a:graphic xmlns:a="http://schemas.openxmlformats.org/drawingml/2006/main">
                        <a:graphicData uri="http://schemas.microsoft.com/office/word/2010/wordprocessingShape">
                          <wps:wsp>
                            <wps:cNvSpPr txBox="1"/>
                            <wps:spPr>
                              <a:xfrm>
                                <a:off x="0" y="0"/>
                                <a:ext cx="5314950" cy="457200"/>
                              </a:xfrm>
                              <a:prstGeom prst="rect">
                                <a:avLst/>
                              </a:prstGeom>
                              <a:noFill/>
                              <a:ln>
                                <a:noFill/>
                              </a:ln>
                            </wps:spPr>
                            <wps:txbx>
                              <w:txbxContent>
                                <w:p>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长发改资环〔2026〕7号</w:t>
                                  </w:r>
                                </w:p>
                                <w:p>
                                  <w:pPr>
                                    <w:jc w:val="left"/>
                                    <w:rPr>
                                      <w:rFonts w:hint="default" w:ascii="Times New Roman" w:hAnsi="Times New Roman" w:eastAsia="仿宋_GB2312" w:cs="Times New Roman"/>
                                      <w:sz w:val="32"/>
                                      <w:szCs w:val="32"/>
                                    </w:rPr>
                                  </w:pPr>
                                </w:p>
                              </w:txbxContent>
                            </wps:txbx>
                            <wps:bodyPr wrap="square" upright="1"/>
                          </wps:wsp>
                        </a:graphicData>
                      </a:graphic>
                    </wp:anchor>
                  </w:drawing>
                </mc:Choice>
                <mc:Fallback>
                  <w:pict>
                    <v:shape id="文本框 8" o:spid="_x0000_s1026" o:spt="202" type="#_x0000_t202" style="position:absolute;left:0pt;margin-left:5.3pt;margin-top:31.7pt;height:36pt;width:418.5pt;mso-position-vertical-relative:page;z-index:251660288;mso-width-relative:page;mso-height-relative:page;" filled="f" stroked="f" coordsize="21600,21600" o:gfxdata="UEsFBgAAAAAAAAAAAAAAAAAAAAAAAFBLAwQKAAAAAACHTuJAAAAAAAAAAAAAAAAABAAAAGRycy9Q&#10;SwMEFAAAAAgAh07iQBJ05+vVAAAACQEAAA8AAABkcnMvZG93bnJldi54bWxNj81OwzAQhO9IvIO1&#10;SNyoXZqGEuL0AOIKovxI3LbxNomI11HsNuHtWU5wnP1GszPldva9OtEYu8AWlgsDirgOruPGwtvr&#10;49UGVEzIDvvAZOGbImyr87MSCxcmfqHTLjVKQjgWaKFNaSi0jnVLHuMiDMTCDmH0mESOjXYjThLu&#10;e31tTK49diwfWhzovqX6a3f0Ft6fDp8fmXluHvx6mMJsNPtbbe3lxdLcgUo0pz8z/NaX6lBJp304&#10;souqF21ycVrIVxko4ZvsRg57Aat1Broq9f8F1Q9QSwMEFAAAAAgAh07iQHofdfq3AQAAXAMAAA4A&#10;AABkcnMvZTJvRG9jLnhtbK1TwW4TMRC9I/EPlu/ESWigrLKphKJyQYBU+ADHa2ctrT3G42Q3PwB/&#10;wIkLd74r39GxN01pe+mBi3c8M34z783s8mpwHdvriBZ8zWeTKWfaK2is39b829frV5ecYZK+kR14&#10;XfODRn61evli2YdKz6GFrtGREYjHqg81b1MKlRCoWu0kTiBoT0ED0clE17gVTZQ9obtOzKfTN6KH&#10;2IQISiOSdz0G+QkxPgcQjLFKr0HtnPZpRI26k4koYWsD8lXp1hit0mdjUCfW1ZyYpnJSEbI3+RSr&#10;pay2UYbWqlML8jktPOLkpPVU9Ay1lkmyXbRPoJxVERBMmihwYiRSFCEWs+kjbW5aGXThQlJjOIuO&#10;/w9Wfdp/icw2NZ9z5qWjgR9//Tz+/nv884NdZnn6gBVl3QTKS8N7GGhp7vxIzsx6MNHlL/FhFCdx&#10;D2dx9ZCYIufi9ezi3YJCimIXi7e0CxlG3L8OEdMHDY5lo+aRhlc0lfuPmMbUu5RczMO17boywM4/&#10;cBBm9ojc+thittKwGU58NtAciE5Pc685ft/JqDnbhWi3LRUu9MpjEr10eFqQPNV/76XE/U+xu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ASdOfr1QAAAAkBAAAPAAAAAAAAAAEAIAAAADgAAABkcnMv&#10;ZG93bnJldi54bWxQSwECFAAUAAAACACHTuJAeh91+rcBAABcAwAADgAAAAAAAAABACAAAAA6AQAA&#10;ZHJzL2Uyb0RvYy54bWxQSwUGAAAAAAYABgBZAQAAYwUAAAAA&#10;">
                      <v:fill on="f" focussize="0,0"/>
                      <v:stroke on="f"/>
                      <v:imagedata o:title=""/>
                      <o:lock v:ext="edit" aspectratio="f"/>
                      <v:textbox>
                        <w:txbxContent>
                          <w:p>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长发改资环〔2026〕7号</w:t>
                            </w:r>
                          </w:p>
                          <w:p>
                            <w:pPr>
                              <w:jc w:val="left"/>
                              <w:rPr>
                                <w:rFonts w:hint="default" w:ascii="Times New Roman" w:hAnsi="Times New Roman" w:eastAsia="仿宋_GB2312" w:cs="Times New Roman"/>
                                <w:sz w:val="32"/>
                                <w:szCs w:val="32"/>
                              </w:rPr>
                            </w:pPr>
                          </w:p>
                        </w:txbxContent>
                      </v:textbox>
                    </v:shape>
                  </w:pict>
                </mc:Fallback>
              </mc:AlternateContent>
            </w:r>
            <w:r>
              <w:rPr>
                <w:sz w:val="32"/>
                <w:szCs w:val="32"/>
              </w:rPr>
              <mc:AlternateContent>
                <mc:Choice Requires="wps">
                  <w:drawing>
                    <wp:anchor distT="0" distB="0" distL="114300" distR="114300" simplePos="0" relativeHeight="251659264" behindDoc="1" locked="1" layoutInCell="1" allowOverlap="1">
                      <wp:simplePos x="0" y="0"/>
                      <wp:positionH relativeFrom="column">
                        <wp:posOffset>-79375</wp:posOffset>
                      </wp:positionH>
                      <wp:positionV relativeFrom="page">
                        <wp:posOffset>647700</wp:posOffset>
                      </wp:positionV>
                      <wp:extent cx="5930265" cy="4572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5930265" cy="457200"/>
                              </a:xfrm>
                              <a:prstGeom prst="rect">
                                <a:avLst/>
                              </a:prstGeom>
                              <a:noFill/>
                              <a:ln>
                                <a:noFill/>
                              </a:ln>
                            </wps:spPr>
                            <wps:txbx>
                              <w:txbxContent>
                                <w:p>
                                  <w:pPr>
                                    <w:jc w:val="center"/>
                                    <w:rPr>
                                      <w:rFonts w:hint="eastAsia" w:eastAsia="宋体"/>
                                      <w:sz w:val="28"/>
                                      <w:szCs w:val="28"/>
                                      <w:lang w:eastAsia="zh-CN"/>
                                    </w:rPr>
                                  </w:pPr>
                                </w:p>
                              </w:txbxContent>
                            </wps:txbx>
                            <wps:bodyPr wrap="square" upright="1"/>
                          </wps:wsp>
                        </a:graphicData>
                      </a:graphic>
                    </wp:anchor>
                  </w:drawing>
                </mc:Choice>
                <mc:Fallback>
                  <w:pict>
                    <v:shape id="文本框 3" o:spid="_x0000_s1026" o:spt="202" type="#_x0000_t202" style="position:absolute;left:0pt;margin-left:-6.25pt;margin-top:51pt;height:36pt;width:466.95pt;mso-position-vertical-relative:page;z-index:-251657216;mso-width-relative:page;mso-height-relative:page;" filled="f" stroked="f" coordsize="21600,21600" o:gfxdata="UEsFBgAAAAAAAAAAAAAAAAAAAAAAAFBLAwQKAAAAAACHTuJAAAAAAAAAAAAAAAAABAAAAGRycy9Q&#10;SwMEFAAAAAgAh07iQBveRl7XAAAACwEAAA8AAABkcnMvZG93bnJldi54bWxNj8FOwzAQRO9I/Qdr&#10;K3Fr7UQptCFODyCuIFpaqTc33iYR8TqK3Sb8PcsJjjvzNDtTbCfXiRsOofWkIVkqEEiVty3VGj73&#10;r4s1iBANWdN5Qg3fGGBbzu4Kk1s/0gfedrEWHEIhNxqaGPtcylA16ExY+h6JvYsfnIl8DrW0gxk5&#10;3HUyVepBOtMSf2hMj88NVl+7q9NweLucjpl6r1/cqh/9pCS5jdT6fp6oJxARp/gHw299rg4ldzr7&#10;K9kgOg2LJF0xyoZKeRQTmzTJQJxZecwUyLKQ/zeUP1BLAwQUAAAACACHTuJAb9MgVbcBAABcAwAA&#10;DgAAAGRycy9lMm9Eb2MueG1srVNLbtswEN0XyB0I7msqTp22guUAhZFugrZA2gPQFGkR4C8c2pIv&#10;kN6gq26677l8jg4p1fl0k0U3FDkzfPPeG2p5NVhD9jKC9q6h57OKEumEb7XbNvTb1+vX7yiBxF3L&#10;jXeyoQcJ9Gp19mrZh1rOfedNKyNBEAd1HxrapRRqxkB00nKY+SAdJpWPlic8xi1rI+8R3Ro2r6pL&#10;1vvYhuiFBMDoekzSCTG+BNArpYVce7Gz0qURNUrDE0qCTgegq8JWKSnSZ6VAJmIaikpTWbEJ7jd5&#10;Zaslr7eRh06LiQJ/CYVnmizXDpueoNY8cbKL+h8oq0X04FWaCW/ZKKQ4girOq2fe3HY8yKIFrYZw&#10;Mh3+H6z4tP8SiW7xJVDiuMWBH398P/78ffx1Ty6yPX2AGqtuA9al4YMfcukUBwxm1YOKNn9RD8E8&#10;mns4mSuHRAQGF+8vqvnlghKBuTeLt/gWMgx7uB0ipI/SW5I3DY04vOIp399AGkv/luRmzl9rYzDO&#10;a+OeBBAzR1imPlLMuzRshon3xrcHlNPj3BsKdzseJSW7EPW2w8ZFXrmMpheG0wPJU318Li0eforV&#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BveRl7XAAAACwEAAA8AAAAAAAAAAQAgAAAAOAAAAGRy&#10;cy9kb3ducmV2LnhtbFBLAQIUABQAAAAIAIdO4kBv0yBVtwEAAFwDAAAOAAAAAAAAAAEAIAAAADwB&#10;AABkcnMvZTJvRG9jLnhtbFBLBQYAAAAABgAGAFkBAABlBQAAAAA=&#10;">
                      <v:fill on="f" focussize="0,0"/>
                      <v:stroke on="f"/>
                      <v:imagedata o:title=""/>
                      <o:lock v:ext="edit" aspectratio="f"/>
                      <v:textbox>
                        <w:txbxContent>
                          <w:p>
                            <w:pPr>
                              <w:jc w:val="center"/>
                              <w:rPr>
                                <w:rFonts w:hint="eastAsia" w:eastAsia="宋体"/>
                                <w:sz w:val="28"/>
                                <w:szCs w:val="28"/>
                                <w:lang w:eastAsia="zh-CN"/>
                              </w:rPr>
                            </w:pPr>
                          </w:p>
                        </w:txbxContent>
                      </v:textbox>
                      <w10:anchorlock/>
                    </v:shape>
                  </w:pict>
                </mc:Fallback>
              </mc:AlternateConten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98" w:hRule="exact"/>
        </w:trPr>
        <w:tc>
          <w:tcPr>
            <w:tcW w:w="8859" w:type="dxa"/>
            <w:tcBorders>
              <w:tl2br w:val="nil"/>
              <w:tr2bl w:val="nil"/>
            </w:tcBorders>
            <w:noWrap w:val="0"/>
            <w:vAlign w:val="center"/>
          </w:tcPr>
          <w:p>
            <w:pPr>
              <w:keepNext w:val="0"/>
              <w:keepLines w:val="0"/>
              <w:pageBreakBefore w:val="0"/>
              <w:widowControl w:val="0"/>
              <w:kinsoku/>
              <w:overflowPunct/>
              <w:topLinePunct w:val="0"/>
              <w:autoSpaceDE/>
              <w:bidi w:val="0"/>
              <w:spacing w:line="240" w:lineRule="auto"/>
              <w:jc w:val="center"/>
              <w:textAlignment w:val="auto"/>
              <w:outlineLvl w:val="9"/>
              <w:rPr>
                <w:rFonts w:hint="eastAsia" w:ascii="方正仿宋_GBK" w:hAnsi="方正仿宋_GBK"/>
                <w:b/>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604" w:hRule="exact"/>
        </w:trPr>
        <w:tc>
          <w:tcPr>
            <w:tcW w:w="8859" w:type="dxa"/>
            <w:tcBorders>
              <w:tl2br w:val="nil"/>
              <w:tr2bl w:val="nil"/>
            </w:tcBorders>
            <w:noWrap w:val="0"/>
            <w:vAlign w:val="center"/>
          </w:tcPr>
          <w:p>
            <w:pPr>
              <w:keepNext w:val="0"/>
              <w:keepLines w:val="0"/>
              <w:pageBreakBefore w:val="0"/>
              <w:widowControl w:val="0"/>
              <w:tabs>
                <w:tab w:val="left" w:pos="3808"/>
              </w:tabs>
              <w:kinsoku/>
              <w:overflowPunct/>
              <w:topLinePunct w:val="0"/>
              <w:autoSpaceDE/>
              <w:bidi w:val="0"/>
              <w:spacing w:line="240" w:lineRule="auto"/>
              <w:jc w:val="center"/>
              <w:textAlignment w:val="auto"/>
              <w:outlineLvl w:val="9"/>
              <w:rPr>
                <w:rFonts w:hint="eastAsia" w:ascii="仿宋_GB2312" w:hAnsi="仿宋_GB2312"/>
                <w:bCs/>
              </w:rPr>
            </w:pPr>
            <w:r>
              <w:rPr>
                <w:sz w:val="32"/>
              </w:rPr>
              <mc:AlternateContent>
                <mc:Choice Requires="wps">
                  <w:drawing>
                    <wp:anchor distT="0" distB="0" distL="114300" distR="114300" simplePos="0" relativeHeight="251662336" behindDoc="0" locked="0" layoutInCell="1" allowOverlap="1">
                      <wp:simplePos x="0" y="0"/>
                      <wp:positionH relativeFrom="column">
                        <wp:posOffset>55245</wp:posOffset>
                      </wp:positionH>
                      <wp:positionV relativeFrom="page">
                        <wp:posOffset>-177165</wp:posOffset>
                      </wp:positionV>
                      <wp:extent cx="5396865" cy="596900"/>
                      <wp:effectExtent l="0" t="0" r="0" b="0"/>
                      <wp:wrapNone/>
                      <wp:docPr id="7" name="文本框 10"/>
                      <wp:cNvGraphicFramePr/>
                      <a:graphic xmlns:a="http://schemas.openxmlformats.org/drawingml/2006/main">
                        <a:graphicData uri="http://schemas.microsoft.com/office/word/2010/wordprocessingShape">
                          <wps:wsp>
                            <wps:cNvSpPr txBox="1"/>
                            <wps:spPr>
                              <a:xfrm>
                                <a:off x="0" y="0"/>
                                <a:ext cx="5396865" cy="596900"/>
                              </a:xfrm>
                              <a:prstGeom prst="rect">
                                <a:avLst/>
                              </a:prstGeom>
                              <a:noFill/>
                              <a:ln>
                                <a:noFill/>
                              </a:ln>
                            </wps:spPr>
                            <wps:txbx>
                              <w:txbxContent>
                                <w:p>
                                  <w:pPr>
                                    <w:jc w:val="center"/>
                                    <w:rPr>
                                      <w:rFonts w:hint="eastAsia" w:ascii="宋体" w:hAnsi="宋体" w:eastAsia="宋体" w:cs="宋体"/>
                                      <w:sz w:val="21"/>
                                      <w:szCs w:val="21"/>
                                      <w:lang w:eastAsia="zh-CN"/>
                                    </w:rPr>
                                  </w:pPr>
                                  <mc:AlternateContent>
                                    <mc:Choice Requires="wpsCustomData">
                                      <wpsCustomData:docfieldStart id="1" docfieldname="横线" hidden="0" print="1" readonly="0" index="7"/>
                                    </mc:Choice>
                                  </mc:AlternateContent>
                                  <mc:AlternateContent>
                                    <mc:Choice Requires="wpsCustomData">
                                      <wpsCustomData:docfieldEnd id="1"/>
                                    </mc:Choice>
                                  </mc:AlternateContent>
                                </w:p>
                              </w:txbxContent>
                            </wps:txbx>
                            <wps:bodyPr wrap="none" upright="1">
                              <a:spAutoFit/>
                            </wps:bodyPr>
                          </wps:wsp>
                        </a:graphicData>
                      </a:graphic>
                    </wp:anchor>
                  </w:drawing>
                </mc:Choice>
                <mc:Fallback>
                  <w:pict>
                    <v:shape id="文本框 10" o:spid="_x0000_s1026" o:spt="202" type="#_x0000_t202" style="position:absolute;left:0pt;margin-left:4.35pt;margin-top:-13.95pt;height:47pt;width:424.95pt;mso-position-vertical-relative:page;mso-wrap-style:none;z-index:251662336;mso-width-relative:page;mso-height-relative:page;" filled="f" stroked="f" coordsize="21600,21600" o:gfxdata="UEsFBgAAAAAAAAAAAAAAAAAAAAAAAFBLAwQKAAAAAACHTuJAAAAAAAAAAAAAAAAABAAAAGRycy9Q&#10;SwMEFAAAAAgAh07iQIzcaxDVAAAACAEAAA8AAABkcnMvZG93bnJldi54bWxNj8tOwzAQRfdI/IM1&#10;SOxaOxFN0xCniwJroPABbjzEIfE4it0HfD3DCpaje3XumXp78aM44Rz7QBqypQKB1AbbU6fh/e1p&#10;UYKIyZA1YyDU8IURts31VW0qG870iqd96gRDKFZGg0tpqqSMrUNv4jJMSJx9hNmbxOfcSTubM8P9&#10;KHOlCulNT7zgzIQ7h+2wP3oNpfLPw7DJX6K/+85WbvcQHqdPrW9vMnUPIuEl/ZXhV5/VoWGnQziS&#10;jWJkxpqLGhb5egOC83JVFiAOGooiA9nU8v8DzQ9QSwMEFAAAAAgAh07iQAjHtUnCAQAAdQMAAA4A&#10;AABkcnMvZTJvRG9jLnhtbK1TS44TMRDdI3EHy3vizqCESSud0aBo2CBAGjiA47bTlvyTy0l3LgA3&#10;YMWGPefKOSg7PckwbGYxG7ddVX6v3iv38mawhuxlBO1dQ6eTihLphG+12zb029e7N9eUQOKu5cY7&#10;2dCDBHqzev1q2YdaXvnOm1ZGgiAO6j40tEsp1IyB6KTlMPFBOkwqHy1PeIxb1kbeI7o17Kqq5qz3&#10;sQ3RCwmA0fUpSUfE+BxAr5QWcu3FzkqXTqhRGp5QEnQ6AF2VbpWSIn1WCmQipqGoNJUVSXC/yStb&#10;LXm9jTx0Wowt8Oe08EST5doh6RlqzRMnu6j/g7JaRA9epYnwlp2EFEdQxbR64s19x4MsWtBqCGfT&#10;4eVgxaf9l0h029B3lDhuceDHnz+Ov/4cf38n0+JPH6DGsvuAhWl47wd8Ndm3HAcMZtmDijZ/URDB&#10;PLp7OLsrh0QEBmdvF/Pr+YwSgbnZYr6oCjy73A4R0gfpLcmbhkacXjGV7z9CQkYsfSjJZM7faWPK&#10;BI37J4CFOcIuLeZdGjbD2PfGtweU0+PgG+rwnVOyC1FvO6SdFk4It7uEBIU33z5dGUFxGqWd8eXk&#10;cT8+l6rL37L6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IzcaxDVAAAACAEAAA8AAAAAAAAAAQAg&#10;AAAAOAAAAGRycy9kb3ducmV2LnhtbFBLAQIUABQAAAAIAIdO4kAIx7VJwgEAAHUDAAAOAAAAAAAA&#10;AAEAIAAAADoBAABkcnMvZTJvRG9jLnhtbFBLBQYAAAAABgAGAFkBAABuBQAAAAA=&#10;">
                      <v:fill on="f" focussize="0,0"/>
                      <v:stroke on="f"/>
                      <v:imagedata o:title=""/>
                      <o:lock v:ext="edit" aspectratio="f"/>
                      <v:textbox style="mso-fit-shape-to-text:t;">
                        <w:txbxContent>
                          <w:p>
                            <w:pPr>
                              <w:jc w:val="center"/>
                              <w:rPr>
                                <w:rFonts w:hint="eastAsia" w:ascii="宋体" w:hAnsi="宋体" w:eastAsia="宋体" w:cs="宋体"/>
                                <w:sz w:val="21"/>
                                <w:szCs w:val="21"/>
                                <w:lang w:eastAsia="zh-CN"/>
                              </w:rPr>
                            </w:pPr>
                            <mc:AlternateContent>
                              <mc:Choice Requires="wpsCustomData">
                                <wpsCustomData:docfieldStart id="1" docfieldname="横线" hidden="0" print="1" readonly="0" index="7"/>
                              </mc:Choice>
                            </mc:AlternateContent>
                            <mc:AlternateContent>
                              <mc:Choice Requires="wpsCustomData">
                                <wpsCustomData:docfieldEnd id="1"/>
                              </mc:Choice>
                            </mc:AlternateContent>
                          </w:p>
                        </w:txbxContent>
                      </v:textbox>
                    </v:shape>
                  </w:pict>
                </mc:Fallback>
              </mc:AlternateContent>
            </w:r>
          </w:p>
          <w:p>
            <w:pPr>
              <w:keepNext w:val="0"/>
              <w:keepLines w:val="0"/>
              <w:pageBreakBefore w:val="0"/>
              <w:widowControl w:val="0"/>
              <w:tabs>
                <w:tab w:val="left" w:pos="3808"/>
              </w:tabs>
              <w:kinsoku/>
              <w:overflowPunct/>
              <w:topLinePunct w:val="0"/>
              <w:autoSpaceDE/>
              <w:bidi w:val="0"/>
              <w:spacing w:line="240" w:lineRule="auto"/>
              <w:jc w:val="center"/>
              <w:textAlignment w:val="auto"/>
              <w:outlineLvl w:val="9"/>
              <w:rPr>
                <w:rFonts w:hint="eastAsia" w:ascii="仿宋_GB2312" w:hAnsi="仿宋_GB2312"/>
                <w:bCs/>
              </w:rPr>
            </w:pPr>
          </w:p>
        </w:tc>
      </w:tr>
    </w:tbl>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eastAsia" w:ascii="方正小标宋_GBK" w:hAnsi="方正小标宋_GBK" w:eastAsia="方正小标宋_GBK" w:cs="方正小标宋_GBK"/>
          <w:spacing w:val="0"/>
          <w:sz w:val="44"/>
          <w:szCs w:val="44"/>
          <w:highlight w:val="none"/>
        </w:rPr>
      </w:pPr>
      <w:bookmarkStart w:id="0" w:name="content"/>
      <w:bookmarkEnd w:id="0"/>
      <w:bookmarkStart w:id="1" w:name="quanwen"/>
      <w:r>
        <w:rPr>
          <w:rFonts w:hint="eastAsia" w:ascii="方正小标宋_GBK" w:hAnsi="方正小标宋_GBK" w:eastAsia="方正小标宋_GBK" w:cs="方正小标宋_GBK"/>
          <w:spacing w:val="0"/>
          <w:sz w:val="44"/>
          <w:szCs w:val="44"/>
          <w:highlight w:val="none"/>
        </w:rPr>
        <w:t>长沙市发展和改革委员会</w:t>
      </w: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eastAsia" w:ascii="方正小标宋_GBK" w:hAnsi="方正小标宋_GBK" w:eastAsia="方正小标宋_GBK" w:cs="方正小标宋_GBK"/>
          <w:spacing w:val="-11"/>
          <w:sz w:val="44"/>
          <w:szCs w:val="44"/>
          <w:highlight w:val="none"/>
        </w:rPr>
      </w:pPr>
      <w:r>
        <w:rPr>
          <w:rFonts w:hint="eastAsia" w:ascii="方正小标宋_GBK" w:hAnsi="方正小标宋_GBK" w:eastAsia="方正小标宋_GBK" w:cs="方正小标宋_GBK"/>
          <w:spacing w:val="-11"/>
          <w:sz w:val="44"/>
          <w:szCs w:val="44"/>
          <w:highlight w:val="none"/>
        </w:rPr>
        <w:t>关于印发《长沙市固定资产投资项目节能审查</w:t>
      </w:r>
      <w:r>
        <w:rPr>
          <w:rFonts w:hint="eastAsia" w:ascii="方正小标宋_GBK" w:hAnsi="方正小标宋_GBK" w:eastAsia="方正小标宋_GBK" w:cs="方正小标宋_GBK"/>
          <w:spacing w:val="-11"/>
          <w:sz w:val="44"/>
          <w:szCs w:val="44"/>
          <w:highlight w:val="none"/>
          <w:lang w:eastAsia="zh-CN"/>
        </w:rPr>
        <w:t>和碳排放评价</w:t>
      </w:r>
      <w:r>
        <w:rPr>
          <w:rFonts w:hint="eastAsia" w:ascii="方正小标宋_GBK" w:hAnsi="方正小标宋_GBK" w:eastAsia="方正小标宋_GBK" w:cs="方正小标宋_GBK"/>
          <w:spacing w:val="-11"/>
          <w:sz w:val="44"/>
          <w:szCs w:val="44"/>
          <w:highlight w:val="none"/>
        </w:rPr>
        <w:t>实施办法》的通知</w:t>
      </w:r>
    </w:p>
    <w:p>
      <w:pPr>
        <w:keepNext w:val="0"/>
        <w:keepLines w:val="0"/>
        <w:pageBreakBefore w:val="0"/>
        <w:widowControl w:val="0"/>
        <w:kinsoku/>
        <w:wordWrap/>
        <w:overflowPunct/>
        <w:topLinePunct w:val="0"/>
        <w:autoSpaceDE w:val="0"/>
        <w:autoSpaceDN w:val="0"/>
        <w:bidi w:val="0"/>
        <w:adjustRightInd w:val="0"/>
        <w:snapToGrid w:val="0"/>
        <w:spacing w:line="600" w:lineRule="exact"/>
        <w:ind w:left="0" w:right="0" w:firstLine="612" w:firstLineChars="200"/>
        <w:textAlignment w:val="baseline"/>
        <w:rPr>
          <w:rFonts w:hint="default" w:ascii="Times New Roman" w:hAnsi="Times New Roman" w:eastAsia="仿宋_GB2312" w:cs="Times New Roman"/>
          <w:spacing w:val="-7"/>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textAlignment w:val="baseline"/>
        <w:rPr>
          <w:rFonts w:hint="eastAsia" w:ascii="Times New Roman" w:hAnsi="Times New Roman" w:eastAsia="仿宋_GB2312" w:cs="Times New Roman"/>
          <w:spacing w:val="0"/>
          <w:sz w:val="32"/>
          <w:szCs w:val="32"/>
          <w:highlight w:val="none"/>
          <w:lang w:eastAsia="zh-CN"/>
        </w:rPr>
      </w:pPr>
      <w:r>
        <w:rPr>
          <w:rFonts w:hint="eastAsia" w:ascii="Times New Roman" w:hAnsi="Times New Roman" w:eastAsia="仿宋_GB2312" w:cs="Times New Roman"/>
          <w:spacing w:val="0"/>
          <w:sz w:val="32"/>
          <w:szCs w:val="32"/>
          <w:highlight w:val="none"/>
          <w:lang w:eastAsia="zh-CN"/>
        </w:rPr>
        <w:t>湘江新区管委会经济发展局、行政审批局，</w:t>
      </w:r>
      <w:r>
        <w:rPr>
          <w:rFonts w:hint="default" w:ascii="Times New Roman" w:hAnsi="Times New Roman" w:eastAsia="仿宋_GB2312" w:cs="Times New Roman"/>
          <w:spacing w:val="0"/>
          <w:sz w:val="32"/>
          <w:szCs w:val="32"/>
          <w:highlight w:val="none"/>
        </w:rPr>
        <w:t>各国家级园区节能主管部门</w:t>
      </w:r>
      <w:r>
        <w:rPr>
          <w:rFonts w:hint="eastAsia"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各区县</w:t>
      </w:r>
      <w:r>
        <w:rPr>
          <w:rFonts w:hint="eastAsia"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市</w:t>
      </w:r>
      <w:r>
        <w:rPr>
          <w:rFonts w:hint="eastAsia"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发展改革局</w:t>
      </w:r>
      <w:r>
        <w:rPr>
          <w:rFonts w:hint="eastAsia" w:ascii="Times New Roman" w:hAnsi="Times New Roman" w:eastAsia="仿宋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left="0" w:right="0" w:firstLine="640" w:firstLineChars="200"/>
        <w:textAlignment w:val="baseline"/>
        <w:rPr>
          <w:rFonts w:hint="eastAsia" w:ascii="Times New Roman" w:hAnsi="Times New Roman" w:eastAsia="仿宋_GB2312" w:cs="Times New Roman"/>
          <w:spacing w:val="0"/>
          <w:sz w:val="32"/>
          <w:szCs w:val="32"/>
          <w:highlight w:val="none"/>
          <w:lang w:eastAsia="zh-CN"/>
        </w:rPr>
      </w:pPr>
      <w:r>
        <w:rPr>
          <w:rFonts w:hint="eastAsia" w:ascii="Times New Roman" w:hAnsi="Times New Roman" w:eastAsia="仿宋_GB2312" w:cs="Times New Roman"/>
          <w:spacing w:val="0"/>
          <w:sz w:val="32"/>
          <w:szCs w:val="32"/>
          <w:highlight w:val="none"/>
          <w:lang w:eastAsia="zh-CN"/>
        </w:rPr>
        <w:t>现将《长沙市固定资产投资项目节能审查和碳排放评价实施办法》印发给你们，请认真组织实施。</w:t>
      </w:r>
    </w:p>
    <w:p>
      <w:pPr>
        <w:keepNext w:val="0"/>
        <w:keepLines w:val="0"/>
        <w:pageBreakBefore w:val="0"/>
        <w:widowControl w:val="0"/>
        <w:kinsoku/>
        <w:wordWrap/>
        <w:overflowPunct/>
        <w:topLinePunct w:val="0"/>
        <w:autoSpaceDE w:val="0"/>
        <w:autoSpaceDN w:val="0"/>
        <w:bidi w:val="0"/>
        <w:adjustRightInd w:val="0"/>
        <w:snapToGrid w:val="0"/>
        <w:spacing w:line="600" w:lineRule="exact"/>
        <w:ind w:left="0" w:right="0" w:firstLine="640" w:firstLineChars="200"/>
        <w:textAlignment w:val="baseline"/>
        <w:rPr>
          <w:rFonts w:hint="eastAsia" w:ascii="Times New Roman" w:hAnsi="Times New Roman" w:eastAsia="仿宋_GB2312" w:cs="Times New Roman"/>
          <w:spacing w:val="0"/>
          <w:sz w:val="32"/>
          <w:szCs w:val="32"/>
          <w:highlight w:val="none"/>
          <w:lang w:eastAsia="zh-CN"/>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eastAsia" w:ascii="Times New Roman" w:hAnsi="Times New Roman" w:eastAsia="仿宋_GB2312" w:cs="Times New Roman"/>
          <w:spacing w:val="0"/>
          <w:sz w:val="32"/>
          <w:szCs w:val="32"/>
          <w:highlight w:val="none"/>
          <w:lang w:eastAsia="zh-CN"/>
        </w:rPr>
      </w:pPr>
      <w:r>
        <w:rPr>
          <w:rFonts w:hint="default" w:ascii="Times New Roman" w:hAnsi="Times New Roman" w:eastAsia="仿宋_GB2312" w:cs="Times New Roman"/>
          <w:spacing w:val="0"/>
          <w:sz w:val="32"/>
          <w:szCs w:val="32"/>
          <w:highlight w:val="none"/>
          <w:lang w:val="en-US" w:eastAsia="zh-CN"/>
        </w:rPr>
        <w:t xml:space="preserve">                          </w:t>
      </w:r>
      <w:r>
        <w:rPr>
          <w:rFonts w:hint="eastAsia" w:ascii="Times New Roman" w:hAnsi="Times New Roman" w:eastAsia="仿宋_GB2312" w:cs="Times New Roman"/>
          <w:spacing w:val="0"/>
          <w:sz w:val="32"/>
          <w:szCs w:val="32"/>
          <w:highlight w:val="none"/>
          <w:lang w:eastAsia="zh-CN"/>
        </w:rPr>
        <w:t>长沙市发展和改革委员会</w:t>
      </w: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仿宋_GB2312" w:cs="Times New Roman"/>
          <w:spacing w:val="0"/>
          <w:sz w:val="32"/>
          <w:szCs w:val="32"/>
          <w:highlight w:val="none"/>
          <w:lang w:val="en-US" w:eastAsia="zh-CN"/>
        </w:rPr>
      </w:pPr>
      <w:r>
        <w:rPr>
          <w:rFonts w:hint="default" w:ascii="Times New Roman" w:hAnsi="Times New Roman" w:eastAsia="仿宋_GB2312" w:cs="Times New Roman"/>
          <w:spacing w:val="0"/>
          <w:sz w:val="32"/>
          <w:szCs w:val="32"/>
          <w:highlight w:val="none"/>
          <w:lang w:val="en-US" w:eastAsia="zh-CN"/>
        </w:rPr>
        <w:t xml:space="preserve">                          </w:t>
      </w:r>
      <w:r>
        <w:rPr>
          <w:rFonts w:hint="eastAsia" w:ascii="Times New Roman" w:hAnsi="Times New Roman" w:eastAsia="仿宋_GB2312" w:cs="Times New Roman"/>
          <w:spacing w:val="0"/>
          <w:sz w:val="32"/>
          <w:szCs w:val="32"/>
          <w:highlight w:val="none"/>
          <w:lang w:val="en-US" w:eastAsia="zh-CN"/>
        </w:rPr>
        <w:t>2026年1月2</w:t>
      </w:r>
      <w:r>
        <w:rPr>
          <w:rFonts w:hint="default" w:ascii="Times New Roman" w:hAnsi="Times New Roman" w:eastAsia="仿宋_GB2312" w:cs="Times New Roman"/>
          <w:spacing w:val="0"/>
          <w:sz w:val="32"/>
          <w:szCs w:val="32"/>
          <w:highlight w:val="none"/>
          <w:lang w:val="en-US" w:eastAsia="zh-CN"/>
        </w:rPr>
        <w:t>3</w:t>
      </w:r>
      <w:r>
        <w:rPr>
          <w:rFonts w:hint="eastAsia" w:ascii="Times New Roman" w:hAnsi="Times New Roman" w:eastAsia="仿宋_GB2312" w:cs="Times New Roman"/>
          <w:spacing w:val="0"/>
          <w:sz w:val="32"/>
          <w:szCs w:val="32"/>
          <w:highlight w:val="none"/>
          <w:lang w:val="en-US" w:eastAsia="zh-CN"/>
        </w:rPr>
        <w:t>日</w:t>
      </w:r>
    </w:p>
    <w:p>
      <w:pPr>
        <w:keepNext w:val="0"/>
        <w:keepLines w:val="0"/>
        <w:pageBreakBefore w:val="0"/>
        <w:widowControl w:val="0"/>
        <w:kinsoku/>
        <w:wordWrap/>
        <w:overflowPunct/>
        <w:topLinePunct w:val="0"/>
        <w:autoSpaceDE w:val="0"/>
        <w:autoSpaceDN w:val="0"/>
        <w:bidi w:val="0"/>
        <w:adjustRightInd w:val="0"/>
        <w:snapToGrid w:val="0"/>
        <w:spacing w:line="600" w:lineRule="exact"/>
        <w:ind w:left="0" w:right="0" w:firstLine="612" w:firstLineChars="200"/>
        <w:textAlignment w:val="baseline"/>
        <w:rPr>
          <w:rFonts w:hint="default" w:ascii="Times New Roman" w:hAnsi="Times New Roman" w:eastAsia="仿宋_GB2312" w:cs="Times New Roman"/>
          <w:spacing w:val="-7"/>
          <w:sz w:val="32"/>
          <w:szCs w:val="32"/>
          <w:highlight w:val="none"/>
        </w:rPr>
      </w:pPr>
    </w:p>
    <w:p>
      <w:pPr>
        <w:keepNext w:val="0"/>
        <w:keepLines w:val="0"/>
        <w:pageBreakBefore w:val="0"/>
        <w:widowControl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方正小标宋_GBK" w:hAnsi="方正小标宋_GBK" w:eastAsia="方正小标宋_GBK" w:cs="方正小标宋_GBK"/>
          <w:b w:val="0"/>
          <w:bCs w:val="0"/>
          <w:spacing w:val="-7"/>
          <w:position w:val="2"/>
          <w:sz w:val="44"/>
          <w:szCs w:val="44"/>
          <w:highlight w:val="none"/>
        </w:rPr>
      </w:pPr>
      <w:r>
        <w:rPr>
          <w:rFonts w:hint="eastAsia" w:ascii="方正小标宋_GBK" w:hAnsi="方正小标宋_GBK" w:eastAsia="方正小标宋_GBK" w:cs="方正小标宋_GBK"/>
          <w:b w:val="0"/>
          <w:bCs w:val="0"/>
          <w:spacing w:val="-7"/>
          <w:position w:val="2"/>
          <w:sz w:val="44"/>
          <w:szCs w:val="44"/>
          <w:highlight w:val="none"/>
          <w:lang w:eastAsia="zh-CN"/>
        </w:rPr>
        <w:t>长沙市固定资产投资项目</w:t>
      </w:r>
      <w:r>
        <w:rPr>
          <w:rFonts w:hint="eastAsia" w:ascii="方正小标宋_GBK" w:hAnsi="方正小标宋_GBK" w:eastAsia="方正小标宋_GBK" w:cs="方正小标宋_GBK"/>
          <w:b w:val="0"/>
          <w:bCs w:val="0"/>
          <w:spacing w:val="-7"/>
          <w:position w:val="2"/>
          <w:sz w:val="44"/>
          <w:szCs w:val="44"/>
          <w:highlight w:val="none"/>
        </w:rPr>
        <w:t>节能审查</w:t>
      </w:r>
    </w:p>
    <w:p>
      <w:pPr>
        <w:keepNext w:val="0"/>
        <w:keepLines w:val="0"/>
        <w:pageBreakBefore w:val="0"/>
        <w:widowControl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方正小标宋_GBK" w:hAnsi="方正小标宋_GBK" w:eastAsia="方正小标宋_GBK" w:cs="方正小标宋_GBK"/>
          <w:b w:val="0"/>
          <w:bCs w:val="0"/>
          <w:spacing w:val="-7"/>
          <w:position w:val="3"/>
          <w:sz w:val="44"/>
          <w:szCs w:val="44"/>
          <w:highlight w:val="none"/>
        </w:rPr>
      </w:pPr>
      <w:r>
        <w:rPr>
          <w:rFonts w:hint="eastAsia" w:ascii="方正小标宋_GBK" w:hAnsi="方正小标宋_GBK" w:eastAsia="方正小标宋_GBK" w:cs="方正小标宋_GBK"/>
          <w:b w:val="0"/>
          <w:bCs w:val="0"/>
          <w:spacing w:val="-7"/>
          <w:position w:val="2"/>
          <w:sz w:val="44"/>
          <w:szCs w:val="44"/>
          <w:highlight w:val="none"/>
        </w:rPr>
        <w:t>和</w:t>
      </w:r>
      <w:r>
        <w:rPr>
          <w:rFonts w:hint="eastAsia" w:ascii="方正小标宋_GBK" w:hAnsi="方正小标宋_GBK" w:eastAsia="方正小标宋_GBK" w:cs="方正小标宋_GBK"/>
          <w:b w:val="0"/>
          <w:bCs w:val="0"/>
          <w:spacing w:val="-7"/>
          <w:position w:val="3"/>
          <w:sz w:val="44"/>
          <w:szCs w:val="44"/>
          <w:highlight w:val="none"/>
        </w:rPr>
        <w:t>碳排放评价实施办法</w:t>
      </w:r>
    </w:p>
    <w:p>
      <w:pPr>
        <w:keepNext w:val="0"/>
        <w:keepLines w:val="0"/>
        <w:pageBreakBefore w:val="0"/>
        <w:widowControl w:val="0"/>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eastAsia" w:ascii="方正楷体_GBK" w:hAnsi="方正楷体_GBK" w:eastAsia="方正楷体_GBK" w:cs="方正楷体_GBK"/>
          <w:b w:val="0"/>
          <w:bCs w:val="0"/>
          <w:spacing w:val="-7"/>
          <w:position w:val="3"/>
          <w:sz w:val="36"/>
          <w:szCs w:val="36"/>
          <w:highlight w:val="none"/>
          <w:lang w:val="en-US" w:eastAsia="zh-CN"/>
        </w:rPr>
      </w:pPr>
    </w:p>
    <w:p>
      <w:pPr>
        <w:keepNext w:val="0"/>
        <w:keepLines w:val="0"/>
        <w:pageBreakBefore w:val="0"/>
        <w:widowControl w:val="0"/>
        <w:kinsoku w:val="0"/>
        <w:wordWrap/>
        <w:overflowPunct/>
        <w:topLinePunct w:val="0"/>
        <w:autoSpaceDE w:val="0"/>
        <w:autoSpaceDN w:val="0"/>
        <w:bidi w:val="0"/>
        <w:adjustRightInd w:val="0"/>
        <w:snapToGrid w:val="0"/>
        <w:spacing w:line="600" w:lineRule="exact"/>
        <w:ind w:left="0" w:right="0" w:firstLine="0" w:firstLineChars="0"/>
        <w:jc w:val="center"/>
        <w:textAlignment w:val="baseline"/>
        <w:outlineLvl w:val="2"/>
        <w:rPr>
          <w:rFonts w:hint="default" w:ascii="Times New Roman" w:hAnsi="Times New Roman" w:cs="Times New Roman"/>
          <w:sz w:val="32"/>
          <w:szCs w:val="32"/>
          <w:highlight w:val="none"/>
        </w:rPr>
      </w:pPr>
      <w:r>
        <w:rPr>
          <w:rFonts w:hint="default" w:ascii="Times New Roman" w:hAnsi="Times New Roman" w:eastAsia="黑体" w:cs="Times New Roman"/>
          <w:spacing w:val="-3"/>
          <w:sz w:val="32"/>
          <w:szCs w:val="32"/>
          <w:highlight w:val="none"/>
        </w:rPr>
        <w:t>第一章</w:t>
      </w:r>
      <w:r>
        <w:rPr>
          <w:rFonts w:hint="default" w:ascii="Times New Roman" w:hAnsi="Times New Roman" w:eastAsia="黑体" w:cs="Times New Roman"/>
          <w:spacing w:val="9"/>
          <w:sz w:val="32"/>
          <w:szCs w:val="32"/>
          <w:highlight w:val="none"/>
        </w:rPr>
        <w:t xml:space="preserve">  </w:t>
      </w:r>
      <w:r>
        <w:rPr>
          <w:rFonts w:hint="default" w:ascii="Times New Roman" w:hAnsi="Times New Roman" w:eastAsia="黑体" w:cs="Times New Roman"/>
          <w:spacing w:val="-3"/>
          <w:sz w:val="32"/>
          <w:szCs w:val="32"/>
          <w:highlight w:val="none"/>
        </w:rPr>
        <w:t>总则</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Times New Roman" w:hAnsi="Times New Roman" w:eastAsia="仿宋_GB2312" w:cs="Times New Roman"/>
          <w:sz w:val="32"/>
          <w:szCs w:val="32"/>
          <w:highlight w:val="none"/>
          <w:lang w:val="en" w:eastAsia="zh-CN"/>
        </w:rPr>
      </w:pPr>
      <w:r>
        <w:rPr>
          <w:rFonts w:hint="default" w:ascii="Times New Roman" w:hAnsi="Times New Roman" w:eastAsia="黑体" w:cs="Times New Roman"/>
          <w:spacing w:val="0"/>
          <w:sz w:val="32"/>
          <w:szCs w:val="32"/>
          <w:highlight w:val="none"/>
        </w:rPr>
        <w:t xml:space="preserve">第一条  </w:t>
      </w:r>
      <w:r>
        <w:rPr>
          <w:rFonts w:hint="default" w:ascii="Times New Roman" w:hAnsi="Times New Roman" w:eastAsia="仿宋_GB2312" w:cs="Times New Roman"/>
          <w:spacing w:val="0"/>
          <w:sz w:val="32"/>
          <w:szCs w:val="32"/>
          <w:highlight w:val="none"/>
        </w:rPr>
        <w:t>为适应能耗双控向碳排放双控全面转型新形势</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新要求</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加强固定资产投资项目能源消费和碳排放管理</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根据《中华人民共和国能源法》《中华人民共和国节约能源法》《中华人民共和国行政许可法》《民用建筑节能条例》《公共机构节能条例》《固定资产投资项目节能审查和碳排放评价办法》</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国家发展改革委令2025年第31号</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和《</w:t>
      </w:r>
      <w:r>
        <w:rPr>
          <w:rFonts w:hint="eastAsia" w:ascii="Times New Roman" w:hAnsi="Times New Roman" w:eastAsia="仿宋_GB2312" w:cs="Times New Roman"/>
          <w:spacing w:val="0"/>
          <w:sz w:val="32"/>
          <w:szCs w:val="32"/>
          <w:highlight w:val="none"/>
          <w:lang w:eastAsia="zh-CN"/>
        </w:rPr>
        <w:t>湖南省发展和改革委员会关于印发</w:t>
      </w:r>
      <w:r>
        <w:rPr>
          <w:rFonts w:hint="eastAsia" w:ascii="Times New Roman" w:hAnsi="Times New Roman" w:eastAsia="仿宋_GB2312" w:cs="Times New Roman"/>
          <w:spacing w:val="0"/>
          <w:sz w:val="32"/>
          <w:szCs w:val="32"/>
          <w:highlight w:val="none"/>
          <w:lang w:val="en-US" w:eastAsia="zh-CN"/>
        </w:rPr>
        <w:t>&lt;</w:t>
      </w:r>
      <w:r>
        <w:rPr>
          <w:rFonts w:hint="default" w:ascii="Times New Roman" w:hAnsi="Times New Roman" w:eastAsia="仿宋_GB2312" w:cs="Times New Roman"/>
          <w:spacing w:val="0"/>
          <w:sz w:val="32"/>
          <w:szCs w:val="32"/>
          <w:highlight w:val="none"/>
        </w:rPr>
        <w:t>湖南省固定资产投资项目节能审查和碳排放评价实施办法</w:t>
      </w:r>
      <w:r>
        <w:rPr>
          <w:rFonts w:hint="eastAsia" w:ascii="Times New Roman" w:hAnsi="Times New Roman" w:eastAsia="仿宋_GB2312" w:cs="Times New Roman"/>
          <w:spacing w:val="0"/>
          <w:sz w:val="32"/>
          <w:szCs w:val="32"/>
          <w:highlight w:val="none"/>
          <w:lang w:val="en-US" w:eastAsia="zh-CN"/>
        </w:rPr>
        <w:t>&gt;的通知</w:t>
      </w:r>
      <w:r>
        <w:rPr>
          <w:rFonts w:hint="default" w:ascii="Times New Roman" w:hAnsi="Times New Roman" w:eastAsia="仿宋_GB2312" w:cs="Times New Roman"/>
          <w:spacing w:val="0"/>
          <w:sz w:val="32"/>
          <w:szCs w:val="32"/>
          <w:highlight w:val="none"/>
        </w:rPr>
        <w:t>》</w:t>
      </w:r>
      <w:r>
        <w:rPr>
          <w:rFonts w:hint="eastAsia" w:ascii="仿宋_GB2312" w:hAnsi="仿宋_GB2312" w:eastAsia="仿宋_GB2312" w:cs="仿宋_GB2312"/>
          <w:spacing w:val="0"/>
          <w:sz w:val="32"/>
          <w:szCs w:val="32"/>
          <w:highlight w:val="none"/>
        </w:rPr>
        <w:t>(</w:t>
      </w:r>
      <w:r>
        <w:rPr>
          <w:rFonts w:hint="default" w:ascii="Times New Roman" w:hAnsi="Times New Roman" w:eastAsia="仿宋_GB2312" w:cs="Times New Roman"/>
          <w:spacing w:val="0"/>
          <w:sz w:val="32"/>
          <w:szCs w:val="32"/>
          <w:highlight w:val="none"/>
        </w:rPr>
        <w:t>湘发改环资规〔2025〕652号</w:t>
      </w:r>
      <w:r>
        <w:rPr>
          <w:rFonts w:hint="eastAsia" w:ascii="仿宋_GB2312" w:hAnsi="仿宋_GB2312" w:eastAsia="仿宋_GB2312" w:cs="仿宋_GB2312"/>
          <w:spacing w:val="0"/>
          <w:sz w:val="32"/>
          <w:szCs w:val="32"/>
          <w:highlight w:val="none"/>
        </w:rPr>
        <w:t>)</w:t>
      </w:r>
      <w:r>
        <w:rPr>
          <w:rFonts w:hint="default" w:ascii="Times New Roman" w:hAnsi="Times New Roman" w:eastAsia="仿宋_GB2312" w:cs="Times New Roman"/>
          <w:spacing w:val="0"/>
          <w:sz w:val="32"/>
          <w:szCs w:val="32"/>
          <w:highlight w:val="none"/>
        </w:rPr>
        <w:t>等有关法律法规规章</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制定本实施办法</w:t>
      </w:r>
      <w:r>
        <w:rPr>
          <w:rFonts w:hint="eastAsia" w:ascii="Times New Roman" w:hAnsi="Times New Roman" w:eastAsia="仿宋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仿宋_GB2312" w:cs="Times New Roman"/>
          <w:sz w:val="32"/>
          <w:szCs w:val="32"/>
          <w:highlight w:val="none"/>
          <w:lang w:eastAsia="zh-CN"/>
        </w:rPr>
      </w:pPr>
      <w:r>
        <w:rPr>
          <w:rFonts w:hint="default" w:ascii="Times New Roman" w:hAnsi="Times New Roman" w:eastAsia="黑体" w:cs="Times New Roman"/>
          <w:spacing w:val="0"/>
          <w:sz w:val="32"/>
          <w:szCs w:val="32"/>
          <w:highlight w:val="none"/>
        </w:rPr>
        <w:t>第二条</w:t>
      </w:r>
      <w:r>
        <w:rPr>
          <w:rFonts w:hint="eastAsia" w:ascii="Times New Roman" w:hAnsi="Times New Roman" w:eastAsia="黑体" w:cs="Times New Roman"/>
          <w:spacing w:val="0"/>
          <w:sz w:val="32"/>
          <w:szCs w:val="32"/>
          <w:highlight w:val="none"/>
          <w:lang w:val="en-US" w:eastAsia="zh-CN"/>
        </w:rPr>
        <w:t xml:space="preserve">  </w:t>
      </w:r>
      <w:r>
        <w:rPr>
          <w:rFonts w:hint="default" w:ascii="Times New Roman" w:hAnsi="Times New Roman" w:eastAsia="仿宋_GB2312" w:cs="Times New Roman"/>
          <w:spacing w:val="0"/>
          <w:sz w:val="32"/>
          <w:szCs w:val="32"/>
          <w:highlight w:val="none"/>
        </w:rPr>
        <w:t>本实施办法适用于</w:t>
      </w:r>
      <w:r>
        <w:rPr>
          <w:rFonts w:hint="default" w:ascii="Times New Roman" w:hAnsi="Times New Roman" w:eastAsia="仿宋_GB2312" w:cs="Times New Roman"/>
          <w:spacing w:val="0"/>
          <w:sz w:val="32"/>
          <w:szCs w:val="32"/>
          <w:highlight w:val="none"/>
          <w:lang w:eastAsia="zh-CN"/>
        </w:rPr>
        <w:t>长沙市</w:t>
      </w:r>
      <w:r>
        <w:rPr>
          <w:rFonts w:hint="default" w:ascii="Times New Roman" w:hAnsi="Times New Roman" w:eastAsia="仿宋_GB2312" w:cs="Times New Roman"/>
          <w:spacing w:val="0"/>
          <w:sz w:val="32"/>
          <w:szCs w:val="32"/>
          <w:highlight w:val="none"/>
        </w:rPr>
        <w:t>各级人民政府投资主管部门管理的在</w:t>
      </w:r>
      <w:r>
        <w:rPr>
          <w:rFonts w:hint="eastAsia" w:ascii="Times New Roman" w:hAnsi="Times New Roman" w:eastAsia="仿宋_GB2312" w:cs="Times New Roman"/>
          <w:spacing w:val="0"/>
          <w:sz w:val="32"/>
          <w:szCs w:val="32"/>
          <w:highlight w:val="none"/>
          <w:lang w:eastAsia="zh-CN"/>
        </w:rPr>
        <w:t>本</w:t>
      </w:r>
      <w:r>
        <w:rPr>
          <w:rFonts w:hint="default" w:ascii="Times New Roman" w:hAnsi="Times New Roman" w:eastAsia="仿宋_GB2312" w:cs="Times New Roman"/>
          <w:spacing w:val="0"/>
          <w:sz w:val="32"/>
          <w:szCs w:val="32"/>
          <w:highlight w:val="none"/>
          <w:lang w:eastAsia="zh-CN"/>
        </w:rPr>
        <w:t>市</w:t>
      </w:r>
      <w:r>
        <w:rPr>
          <w:rFonts w:hint="eastAsia" w:ascii="Times New Roman" w:hAnsi="Times New Roman" w:eastAsia="仿宋_GB2312" w:cs="Times New Roman"/>
          <w:spacing w:val="0"/>
          <w:sz w:val="32"/>
          <w:szCs w:val="32"/>
          <w:highlight w:val="none"/>
          <w:lang w:eastAsia="zh-CN"/>
        </w:rPr>
        <w:t>行政区域</w:t>
      </w:r>
      <w:r>
        <w:rPr>
          <w:rFonts w:hint="default" w:ascii="Times New Roman" w:hAnsi="Times New Roman" w:eastAsia="仿宋_GB2312" w:cs="Times New Roman"/>
          <w:spacing w:val="0"/>
          <w:sz w:val="32"/>
          <w:szCs w:val="32"/>
          <w:highlight w:val="none"/>
        </w:rPr>
        <w:t>内建设的固定资产投资项目</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包括新建</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改建</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扩建和技术改造等项目</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本实施办法所称节能审查</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是指根据节能法律法规</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政策标准等</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对项目能源消费</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能效水平及节能措施等情况进行审查</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并形成审查意见的行为</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本实施办法所称碳排放评价</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是指在对项目进行节能审查时</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按照碳排放双控要求同步对项目碳排放水平</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实施影响和降碳措施等进行评价</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并形成评价结果的行为</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项目碳排放评价结果纳入项目节能审查意见</w:t>
      </w:r>
      <w:r>
        <w:rPr>
          <w:rFonts w:hint="default" w:ascii="Times New Roman" w:hAnsi="Times New Roman" w:eastAsia="仿宋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仿宋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第三条  </w:t>
      </w:r>
      <w:r>
        <w:rPr>
          <w:rFonts w:hint="default" w:ascii="Times New Roman" w:hAnsi="Times New Roman" w:eastAsia="仿宋_GB2312" w:cs="Times New Roman"/>
          <w:spacing w:val="0"/>
          <w:sz w:val="32"/>
          <w:szCs w:val="32"/>
          <w:highlight w:val="none"/>
        </w:rPr>
        <w:t>固定资产投资项目节能审查意见是项目开工建设</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竣工验收和运营管理的重要依据</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不单独进行节能审查项目除外</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政府投资项目</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建设单位在报送项目可行性研究报告前</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需取得节能审查机关出具的节能审查意见</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对项目审批与节能审查属同一个部门受理的</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建设单位可以在报送可行性研究报告时</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z w:val="32"/>
          <w:szCs w:val="32"/>
          <w:highlight w:val="none"/>
        </w:rPr>
        <w:t>同时报送节能报告</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pacing w:val="0"/>
          <w:sz w:val="32"/>
          <w:szCs w:val="32"/>
          <w:highlight w:val="none"/>
        </w:rPr>
        <w:t>企业投资项目</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建设单位需在开工建设前取得节能审查机关出具的节能审查意见</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未按本实施办法规定进行节能审查</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或节能审查未通过的项目</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建设单位不得开工建设</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已经建成的不得投入生产</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使用</w:t>
      </w:r>
      <w:r>
        <w:rPr>
          <w:rFonts w:hint="default" w:ascii="Times New Roman" w:hAnsi="Times New Roman" w:eastAsia="仿宋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第四条  </w:t>
      </w:r>
      <w:r>
        <w:rPr>
          <w:rFonts w:hint="default" w:ascii="Times New Roman" w:hAnsi="Times New Roman" w:eastAsia="FangSong_GB2312" w:cs="Times New Roman"/>
          <w:spacing w:val="0"/>
          <w:sz w:val="32"/>
          <w:szCs w:val="32"/>
          <w:highlight w:val="none"/>
        </w:rPr>
        <w:t>固定资产投资项目节能审查相关工作经费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按照国家有关规定纳入部门预算</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并按照规定程序向同级财政部门申请</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对项目进行节能审查不得收取任何费用</w:t>
      </w:r>
      <w:r>
        <w:rPr>
          <w:rFonts w:hint="default" w:ascii="Times New Roman" w:hAnsi="Times New Roman" w:eastAsia="FangSong_GB2312" w:cs="Times New Roman"/>
          <w:spacing w:val="0"/>
          <w:sz w:val="32"/>
          <w:szCs w:val="32"/>
          <w:highlight w:val="none"/>
          <w:lang w:eastAsia="zh-CN"/>
        </w:rPr>
        <w:t>。</w:t>
      </w:r>
    </w:p>
    <w:p>
      <w:pPr>
        <w:pStyle w:val="4"/>
        <w:keepNext w:val="0"/>
        <w:keepLines w:val="0"/>
        <w:pageBreakBefore w:val="0"/>
        <w:widowControl w:val="0"/>
        <w:kinsoku/>
        <w:wordWrap/>
        <w:overflowPunct/>
        <w:topLinePunct w:val="0"/>
        <w:autoSpaceDE w:val="0"/>
        <w:autoSpaceDN w:val="0"/>
        <w:bidi w:val="0"/>
        <w:adjustRightInd w:val="0"/>
        <w:snapToGrid w:val="0"/>
        <w:spacing w:after="0" w:line="560" w:lineRule="exact"/>
        <w:ind w:left="0" w:right="0" w:firstLine="640" w:firstLineChars="200"/>
        <w:textAlignment w:val="baseline"/>
        <w:rPr>
          <w:rFonts w:hint="default" w:ascii="Times New Roman" w:hAnsi="Times New Roman" w:cs="Times New Roman"/>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0" w:firstLineChars="0"/>
        <w:jc w:val="center"/>
        <w:textAlignment w:val="baseline"/>
        <w:outlineLvl w:val="2"/>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第二章  管理职责</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仿宋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第五条  </w:t>
      </w:r>
      <w:r>
        <w:rPr>
          <w:rFonts w:hint="default" w:ascii="Times New Roman" w:hAnsi="Times New Roman" w:eastAsia="仿宋_GB2312" w:cs="Times New Roman"/>
          <w:spacing w:val="0"/>
          <w:sz w:val="32"/>
          <w:szCs w:val="32"/>
          <w:highlight w:val="none"/>
          <w:lang w:val="en-US" w:eastAsia="zh-CN"/>
        </w:rPr>
        <w:t>市</w:t>
      </w:r>
      <w:r>
        <w:rPr>
          <w:rFonts w:hint="default" w:ascii="Times New Roman" w:hAnsi="Times New Roman" w:eastAsia="仿宋_GB2312" w:cs="Times New Roman"/>
          <w:spacing w:val="0"/>
          <w:sz w:val="32"/>
          <w:szCs w:val="32"/>
          <w:highlight w:val="none"/>
        </w:rPr>
        <w:t>发展改革委及经市人民政府</w:t>
      </w:r>
      <w:r>
        <w:rPr>
          <w:rFonts w:hint="eastAsia" w:ascii="Times New Roman" w:hAnsi="Times New Roman" w:eastAsia="仿宋_GB2312" w:cs="Times New Roman"/>
          <w:spacing w:val="0"/>
          <w:sz w:val="32"/>
          <w:szCs w:val="32"/>
          <w:highlight w:val="none"/>
          <w:lang w:eastAsia="zh-CN"/>
        </w:rPr>
        <w:t>授权</w:t>
      </w:r>
      <w:r>
        <w:rPr>
          <w:rFonts w:hint="default" w:ascii="Times New Roman" w:hAnsi="Times New Roman" w:eastAsia="仿宋_GB2312" w:cs="Times New Roman"/>
          <w:spacing w:val="0"/>
          <w:sz w:val="32"/>
          <w:szCs w:val="32"/>
          <w:highlight w:val="none"/>
        </w:rPr>
        <w:t>的相关单位负责</w:t>
      </w:r>
      <w:r>
        <w:rPr>
          <w:rFonts w:hint="default" w:ascii="Times New Roman" w:hAnsi="Times New Roman" w:eastAsia="仿宋_GB2312" w:cs="Times New Roman"/>
          <w:spacing w:val="0"/>
          <w:sz w:val="32"/>
          <w:szCs w:val="32"/>
          <w:highlight w:val="none"/>
          <w:lang w:val="en-US" w:eastAsia="zh-CN"/>
        </w:rPr>
        <w:t>市</w:t>
      </w:r>
      <w:r>
        <w:rPr>
          <w:rFonts w:hint="default" w:ascii="Times New Roman" w:hAnsi="Times New Roman" w:eastAsia="仿宋_GB2312" w:cs="Times New Roman"/>
          <w:spacing w:val="0"/>
          <w:sz w:val="32"/>
          <w:szCs w:val="32"/>
          <w:highlight w:val="none"/>
        </w:rPr>
        <w:t>级权限内固定资产投资项目节能审查工作</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组织开展业务培训</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z w:val="32"/>
          <w:szCs w:val="32"/>
          <w:highlight w:val="none"/>
        </w:rPr>
        <w:t>依据</w:t>
      </w:r>
      <w:r>
        <w:rPr>
          <w:rFonts w:hint="eastAsia" w:ascii="Times New Roman" w:hAnsi="Times New Roman" w:eastAsia="仿宋_GB2312" w:cs="Times New Roman"/>
          <w:sz w:val="32"/>
          <w:szCs w:val="32"/>
          <w:highlight w:val="none"/>
          <w:lang w:eastAsia="zh-CN"/>
        </w:rPr>
        <w:t>各国家级园区、各区县（市）</w:t>
      </w:r>
      <w:r>
        <w:rPr>
          <w:rFonts w:hint="default" w:ascii="Times New Roman" w:hAnsi="Times New Roman" w:eastAsia="仿宋_GB2312" w:cs="Times New Roman"/>
          <w:sz w:val="32"/>
          <w:szCs w:val="32"/>
          <w:highlight w:val="none"/>
        </w:rPr>
        <w:t>能源消费和碳排放形势</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节能降碳</w:t>
      </w:r>
      <w:r>
        <w:rPr>
          <w:rFonts w:hint="default" w:ascii="Times New Roman" w:hAnsi="Times New Roman" w:eastAsia="仿宋_GB2312" w:cs="Times New Roman"/>
          <w:spacing w:val="0"/>
          <w:sz w:val="32"/>
          <w:szCs w:val="32"/>
          <w:highlight w:val="none"/>
        </w:rPr>
        <w:t>目标完成等情况</w:t>
      </w:r>
      <w:r>
        <w:rPr>
          <w:rFonts w:hint="default" w:ascii="Times New Roman" w:hAnsi="Times New Roman" w:eastAsia="仿宋_GB2312"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对</w:t>
      </w:r>
      <w:r>
        <w:rPr>
          <w:rFonts w:hint="eastAsia" w:ascii="Times New Roman" w:hAnsi="Times New Roman" w:eastAsia="仿宋_GB2312" w:cs="Times New Roman"/>
          <w:spacing w:val="0"/>
          <w:sz w:val="32"/>
          <w:szCs w:val="32"/>
          <w:highlight w:val="none"/>
          <w:lang w:eastAsia="zh-CN"/>
        </w:rPr>
        <w:t>各地</w:t>
      </w:r>
      <w:r>
        <w:rPr>
          <w:rFonts w:hint="default" w:ascii="Times New Roman" w:hAnsi="Times New Roman" w:eastAsia="仿宋_GB2312" w:cs="Times New Roman"/>
          <w:spacing w:val="0"/>
          <w:sz w:val="32"/>
          <w:szCs w:val="32"/>
          <w:highlight w:val="none"/>
        </w:rPr>
        <w:t>节能审查工作进行督导</w:t>
      </w:r>
      <w:r>
        <w:rPr>
          <w:rFonts w:hint="default" w:ascii="Times New Roman" w:hAnsi="Times New Roman" w:eastAsia="仿宋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黑体" w:cs="Times New Roman"/>
          <w:spacing w:val="0"/>
          <w:sz w:val="32"/>
          <w:szCs w:val="32"/>
          <w:highlight w:val="none"/>
        </w:rPr>
        <w:t xml:space="preserve">第六条  </w:t>
      </w:r>
      <w:r>
        <w:rPr>
          <w:rFonts w:hint="default" w:ascii="Times New Roman" w:hAnsi="Times New Roman" w:eastAsia="FangSong_GB2312" w:cs="Times New Roman"/>
          <w:spacing w:val="0"/>
          <w:sz w:val="32"/>
          <w:szCs w:val="32"/>
          <w:highlight w:val="none"/>
        </w:rPr>
        <w:t>县级以上人民政府管理节能工作的部门应会同有关部门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根据本地节能降碳工作实际</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加强对节能审查工作的总体指导和统筹协调</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坚持节约优先</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能效引领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强化节能降碳指标管理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合理控制化石能源消费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坚决遏制高耗能</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高排放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低水平项目盲目上马</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积极稳妥推进碳达峰碳中和</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第七条  </w:t>
      </w:r>
      <w:r>
        <w:rPr>
          <w:rFonts w:hint="default" w:ascii="Times New Roman" w:hAnsi="Times New Roman" w:eastAsia="FangSong_GB2312" w:cs="Times New Roman"/>
          <w:spacing w:val="0"/>
          <w:sz w:val="32"/>
          <w:szCs w:val="32"/>
          <w:highlight w:val="none"/>
        </w:rPr>
        <w:t>固定资产投资项目节能审查由市、国家级园区、区县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节能审查机关负责</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原则上应为县级及以上人民政府管理节能工作的部门或市人民政府授权负责节能审查的部门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节能审查机关与管理节能工作的部门为不同部门的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节能审查机关应与同级管理节能工作的部门加强工作衔接</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项目节能审查应征求同级管理节能工作的部门意见</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并及时将本部门节能审查实施情况抄送同级管理节能工作的部门</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FangSong_GB2312" w:cs="Times New Roman"/>
          <w:spacing w:val="0"/>
          <w:sz w:val="32"/>
          <w:szCs w:val="32"/>
          <w:highlight w:val="none"/>
        </w:rPr>
        <w:t>节能审查机关应当制定并公开服务指南</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列明节能审查的申报材料</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受理方式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审查条件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办理流程</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办理时限等</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为建设单位提供指导和服务</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提高工作效能和透明度</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上级节能审查机</w:t>
      </w:r>
      <w:r>
        <w:rPr>
          <w:rFonts w:hint="default" w:ascii="Times New Roman" w:hAnsi="Times New Roman" w:eastAsia="FangSong_GB2312" w:cs="Times New Roman"/>
          <w:sz w:val="32"/>
          <w:szCs w:val="32"/>
          <w:highlight w:val="none"/>
        </w:rPr>
        <w:t>关应加强对下级节能审查机关的工作指导</w:t>
      </w:r>
      <w:r>
        <w:rPr>
          <w:rFonts w:hint="default" w:ascii="Times New Roman" w:hAnsi="Times New Roman" w:eastAsia="FangSong_GB2312" w:cs="Times New Roman"/>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黑体" w:cs="Times New Roman"/>
          <w:spacing w:val="0"/>
          <w:sz w:val="32"/>
          <w:szCs w:val="32"/>
          <w:highlight w:val="none"/>
        </w:rPr>
        <w:t xml:space="preserve">第八条  </w:t>
      </w:r>
      <w:r>
        <w:rPr>
          <w:rFonts w:hint="default" w:ascii="Times New Roman" w:hAnsi="Times New Roman" w:eastAsia="FangSong_GB2312" w:cs="Times New Roman"/>
          <w:spacing w:val="0"/>
          <w:sz w:val="32"/>
          <w:szCs w:val="32"/>
          <w:highlight w:val="none"/>
        </w:rPr>
        <w:t>固定资产投资项目节能审查按照项目管理权限和项目年综合能源消费量实行分级管理</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一</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报送国家发展改革委实施节能审查的项目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根据国家发展改革委固定资产投资项目节能审查权限动态调整机制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湖南省重点领域年综合能源消费量</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建设地点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主要生产工艺和设备未改变的改建和技术改造项目按照建成投产后年综合能源消费增量计算</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其他项目按照建成投产后年综合能源消费量计算</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下同；电力折算系数按等价值或当量值</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年综合能源消费量取高值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50万吨标准煤及以上</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或年煤炭消费量50万吨及以上</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有关审查的行业范围</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审查条件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工作程序等</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依据国家发展改革委文件执行</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二</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报送省发展改革委实施节能审查的项目</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FangSong_GB2312" w:cs="Times New Roman"/>
          <w:spacing w:val="0"/>
          <w:sz w:val="32"/>
          <w:szCs w:val="32"/>
          <w:highlight w:val="none"/>
        </w:rPr>
        <w:t>1.除应报国家发展改革委实施节能审查的重点领域项目外</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通过国家发展改革委核报国务院审批</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核准</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和报国家发展改革委审批</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核准</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以及年综合能源消费量</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电力折算系数按当量值</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本条下同</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10000吨标准煤及以上</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或年煤炭消费量10000吨及以上</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的固定资产投资项目</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FangSong_GB2312" w:cs="Times New Roman"/>
          <w:spacing w:val="0"/>
          <w:sz w:val="32"/>
          <w:szCs w:val="32"/>
          <w:highlight w:val="none"/>
        </w:rPr>
        <w:t>2.省人民政府交办的其他固定资产投资项目</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三</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报送</w:t>
      </w:r>
      <w:r>
        <w:rPr>
          <w:rFonts w:hint="eastAsia" w:ascii="Times New Roman" w:hAnsi="Times New Roman" w:eastAsia="FangSong_GB2312" w:cs="Times New Roman"/>
          <w:spacing w:val="0"/>
          <w:sz w:val="32"/>
          <w:szCs w:val="32"/>
          <w:highlight w:val="none"/>
          <w:lang w:val="en-US" w:eastAsia="zh-CN"/>
        </w:rPr>
        <w:t>市级</w:t>
      </w:r>
      <w:r>
        <w:rPr>
          <w:rFonts w:hint="default" w:ascii="Times New Roman" w:hAnsi="Times New Roman" w:eastAsia="FangSong_GB2312" w:cs="Times New Roman"/>
          <w:spacing w:val="0"/>
          <w:sz w:val="32"/>
          <w:szCs w:val="32"/>
          <w:highlight w:val="none"/>
        </w:rPr>
        <w:t>节能审查机关实施节能审查的项目</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FangSong_GB2312" w:cs="Times New Roman"/>
          <w:spacing w:val="0"/>
          <w:sz w:val="32"/>
          <w:szCs w:val="32"/>
          <w:highlight w:val="none"/>
        </w:rPr>
        <w:t>1.通过省发展改革委核报省人民政府审批以及省级投资主管部门审批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核准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备案</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且年综合能源消费量1000</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含</w:t>
      </w:r>
      <w:r>
        <w:rPr>
          <w:rFonts w:hint="eastAsia"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val="en-US" w:eastAsia="zh-CN"/>
        </w:rPr>
        <w:t>-</w:t>
      </w:r>
      <w:r>
        <w:rPr>
          <w:rFonts w:hint="default" w:ascii="Times New Roman" w:hAnsi="Times New Roman" w:eastAsia="FangSong_GB2312" w:cs="Times New Roman"/>
          <w:spacing w:val="0"/>
          <w:sz w:val="32"/>
          <w:szCs w:val="32"/>
          <w:highlight w:val="none"/>
        </w:rPr>
        <w:t>10000吨标准煤</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或年煤炭消费量1000</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含</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lang w:val="en" w:eastAsia="zh-CN"/>
        </w:rPr>
        <w:t>-</w:t>
      </w:r>
      <w:r>
        <w:rPr>
          <w:rFonts w:hint="default" w:ascii="Times New Roman" w:hAnsi="Times New Roman" w:eastAsia="FangSong_GB2312" w:cs="Times New Roman"/>
          <w:spacing w:val="0"/>
          <w:sz w:val="32"/>
          <w:szCs w:val="32"/>
          <w:highlight w:val="none"/>
        </w:rPr>
        <w:t>10000吨</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的固定资产投资项目</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FangSong_GB2312" w:cs="Times New Roman"/>
          <w:spacing w:val="0"/>
          <w:sz w:val="32"/>
          <w:szCs w:val="32"/>
          <w:highlight w:val="none"/>
        </w:rPr>
        <w:t>2.年综合能源消费量</w:t>
      </w:r>
      <w:r>
        <w:rPr>
          <w:rFonts w:hint="eastAsia" w:ascii="Times New Roman" w:hAnsi="Times New Roman" w:eastAsia="FangSong_GB2312" w:cs="Times New Roman"/>
          <w:spacing w:val="0"/>
          <w:sz w:val="32"/>
          <w:szCs w:val="32"/>
          <w:highlight w:val="none"/>
          <w:lang w:val="en-US" w:eastAsia="zh-CN"/>
        </w:rPr>
        <w:t>3</w:t>
      </w:r>
      <w:r>
        <w:rPr>
          <w:rFonts w:hint="default" w:ascii="Times New Roman" w:hAnsi="Times New Roman" w:eastAsia="FangSong_GB2312" w:cs="Times New Roman"/>
          <w:spacing w:val="0"/>
          <w:sz w:val="32"/>
          <w:szCs w:val="32"/>
          <w:highlight w:val="none"/>
        </w:rPr>
        <w:t>000</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含</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-10000吨标准煤</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或年煤炭消费量</w:t>
      </w:r>
      <w:r>
        <w:rPr>
          <w:rFonts w:hint="eastAsia" w:ascii="Times New Roman" w:hAnsi="Times New Roman" w:eastAsia="FangSong_GB2312" w:cs="Times New Roman"/>
          <w:spacing w:val="0"/>
          <w:sz w:val="32"/>
          <w:szCs w:val="32"/>
          <w:highlight w:val="none"/>
          <w:lang w:val="en-US" w:eastAsia="zh-CN"/>
        </w:rPr>
        <w:t>3</w:t>
      </w:r>
      <w:r>
        <w:rPr>
          <w:rFonts w:hint="default" w:ascii="Times New Roman" w:hAnsi="Times New Roman" w:eastAsia="FangSong_GB2312" w:cs="Times New Roman"/>
          <w:spacing w:val="0"/>
          <w:sz w:val="32"/>
          <w:szCs w:val="32"/>
          <w:highlight w:val="none"/>
        </w:rPr>
        <w:t>000</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含</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-10000吨</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的固定资产投资项目</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FangSong_GB2312" w:cs="Times New Roman"/>
          <w:spacing w:val="0"/>
          <w:sz w:val="32"/>
          <w:szCs w:val="32"/>
          <w:highlight w:val="none"/>
        </w:rPr>
        <w:t>除上述范围</w:t>
      </w:r>
      <w:r>
        <w:rPr>
          <w:rFonts w:hint="eastAsia" w:ascii="Times New Roman" w:hAnsi="Times New Roman" w:eastAsia="FangSong_GB2312" w:cs="Times New Roman"/>
          <w:spacing w:val="0"/>
          <w:sz w:val="32"/>
          <w:szCs w:val="32"/>
          <w:highlight w:val="none"/>
          <w:lang w:eastAsia="zh-CN"/>
        </w:rPr>
        <w:t>和“两高”项目</w:t>
      </w:r>
      <w:r>
        <w:rPr>
          <w:rFonts w:hint="default" w:ascii="Times New Roman" w:hAnsi="Times New Roman" w:eastAsia="FangSong_GB2312" w:cs="Times New Roman"/>
          <w:spacing w:val="0"/>
          <w:sz w:val="32"/>
          <w:szCs w:val="32"/>
          <w:highlight w:val="none"/>
        </w:rPr>
        <w:t>外</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其他必须开展节能审查的固定资产投资项目节能审查</w:t>
      </w:r>
      <w:r>
        <w:rPr>
          <w:rFonts w:hint="eastAsia" w:ascii="Times New Roman" w:hAnsi="Times New Roman" w:eastAsia="FangSong_GB2312" w:cs="Times New Roman"/>
          <w:spacing w:val="0"/>
          <w:sz w:val="32"/>
          <w:szCs w:val="32"/>
          <w:highlight w:val="none"/>
          <w:lang w:eastAsia="zh-CN"/>
        </w:rPr>
        <w:t>可</w:t>
      </w:r>
      <w:r>
        <w:rPr>
          <w:rFonts w:hint="default" w:ascii="Times New Roman" w:hAnsi="Times New Roman" w:eastAsia="FangSong_GB2312" w:cs="Times New Roman"/>
          <w:spacing w:val="0"/>
          <w:sz w:val="32"/>
          <w:szCs w:val="32"/>
          <w:highlight w:val="none"/>
        </w:rPr>
        <w:t>由</w:t>
      </w:r>
      <w:r>
        <w:rPr>
          <w:rFonts w:hint="eastAsia" w:ascii="Times New Roman" w:hAnsi="Times New Roman" w:eastAsia="FangSong_GB2312" w:cs="Times New Roman"/>
          <w:spacing w:val="0"/>
          <w:sz w:val="32"/>
          <w:szCs w:val="32"/>
          <w:highlight w:val="none"/>
          <w:lang w:val="en-US" w:eastAsia="zh-CN"/>
        </w:rPr>
        <w:t>项目所在地</w:t>
      </w:r>
      <w:r>
        <w:rPr>
          <w:rFonts w:hint="default" w:ascii="Times New Roman" w:hAnsi="Times New Roman" w:eastAsia="FangSong_GB2312" w:cs="Times New Roman"/>
          <w:spacing w:val="0"/>
          <w:sz w:val="32"/>
          <w:szCs w:val="32"/>
          <w:highlight w:val="none"/>
        </w:rPr>
        <w:t>国家级园区、区县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w:t>
      </w:r>
      <w:r>
        <w:rPr>
          <w:rFonts w:hint="eastAsia" w:ascii="Times New Roman" w:hAnsi="Times New Roman" w:eastAsia="FangSong_GB2312" w:cs="Times New Roman"/>
          <w:spacing w:val="0"/>
          <w:sz w:val="32"/>
          <w:szCs w:val="32"/>
          <w:highlight w:val="none"/>
          <w:lang w:eastAsia="zh-CN"/>
        </w:rPr>
        <w:t>组织实施</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rPr>
      </w:pPr>
      <w:r>
        <w:rPr>
          <w:rFonts w:hint="eastAsia"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val="en-US" w:eastAsia="zh-CN"/>
        </w:rPr>
        <w:t>四</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国家级园区、各区县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节能审查机关承接节能审查权限，应由园区管委会或区县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人民政府向市发展改革委提交书面申请，注明承接节能审查业务的能力、事中事后监管措施等。市发展改革委依申请将相应节能审查权限下放。对节能降碳相关指标进展滞后</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专业力量不足</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审查质量偏低的国家级园区、区县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发展改革委及时调整或暂停其节能审查权限</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val="en-US" w:eastAsia="zh-CN"/>
        </w:rPr>
        <w:t>五</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年综合能源消费量不满1000吨标准煤且年煤炭消费量不满1000吨的固定资产投资项目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涉及国家秘密</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保密事项范围及密级应由具备定密权限的机关</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单位确定</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以及用能工艺简单</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节能潜力小的行业</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具体行业目录由国家发展改革委制定公布并适时更新</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可不单独编制节能报告</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项目建设单位应按照相关节能标准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规范建设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在项目可行性研究报告或项目申请报告中对项目能源利用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节能降碳措施</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能效和碳排放水平等进行分析</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并在投资项目在线审批监管平台如实填报项目年综合能源消费量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年煤炭消费量等内容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节能审查机关对项目不再单独进行节能审查</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不再出具节能审查意见</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FangSong_GB2312" w:cs="Times New Roman"/>
          <w:spacing w:val="0"/>
          <w:sz w:val="32"/>
          <w:szCs w:val="32"/>
          <w:highlight w:val="none"/>
        </w:rPr>
        <w:t>单个项目或者打捆项目涉及两个以上区县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的，其节能审查工作由市级节能审查机关组织实施</w:t>
      </w:r>
      <w:r>
        <w:rPr>
          <w:rFonts w:hint="eastAsia"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第九条  </w:t>
      </w:r>
      <w:r>
        <w:rPr>
          <w:rFonts w:hint="default" w:ascii="Times New Roman" w:hAnsi="Times New Roman" w:eastAsia="FangSong_GB2312" w:cs="Times New Roman"/>
          <w:spacing w:val="0"/>
          <w:sz w:val="32"/>
          <w:szCs w:val="32"/>
          <w:highlight w:val="none"/>
        </w:rPr>
        <w:t>开展节能审查的固定资产投资项目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应同步开展碳排放评价</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对节能降碳指标严重滞后的区县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发展改革委视情</w:t>
      </w:r>
      <w:r>
        <w:rPr>
          <w:rFonts w:hint="eastAsia" w:ascii="Times New Roman" w:hAnsi="Times New Roman" w:eastAsia="FangSong_GB2312" w:cs="Times New Roman"/>
          <w:spacing w:val="0"/>
          <w:sz w:val="32"/>
          <w:szCs w:val="32"/>
          <w:highlight w:val="none"/>
          <w:lang w:eastAsia="zh-CN"/>
        </w:rPr>
        <w:t>况</w:t>
      </w:r>
      <w:r>
        <w:rPr>
          <w:rFonts w:hint="default" w:ascii="Times New Roman" w:hAnsi="Times New Roman" w:eastAsia="FangSong_GB2312" w:cs="Times New Roman"/>
          <w:spacing w:val="0"/>
          <w:sz w:val="32"/>
          <w:szCs w:val="32"/>
          <w:highlight w:val="none"/>
        </w:rPr>
        <w:t>暂停受理其高耗能高排放项目节能审查和碳排放评价申请</w:t>
      </w:r>
      <w:r>
        <w:rPr>
          <w:rFonts w:hint="default"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eastAsia="zh-CN"/>
        </w:rPr>
        <w:t>具体</w:t>
      </w:r>
      <w:r>
        <w:rPr>
          <w:rFonts w:hint="default" w:ascii="Times New Roman" w:hAnsi="Times New Roman" w:eastAsia="FangSong_GB2312" w:cs="Times New Roman"/>
          <w:spacing w:val="0"/>
          <w:sz w:val="32"/>
          <w:szCs w:val="32"/>
          <w:highlight w:val="none"/>
        </w:rPr>
        <w:t>暂停时段由</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发展改革委结合实际确定</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第十条  </w:t>
      </w:r>
      <w:r>
        <w:rPr>
          <w:rFonts w:hint="default" w:ascii="Times New Roman" w:hAnsi="Times New Roman" w:eastAsia="FangSong_GB2312" w:cs="Times New Roman"/>
          <w:spacing w:val="0"/>
          <w:sz w:val="32"/>
          <w:szCs w:val="32"/>
          <w:highlight w:val="none"/>
        </w:rPr>
        <w:t>区域节能审查工作根据省发展改革委制定的区域节能审查具体实施办法组织实施。</w:t>
      </w:r>
    </w:p>
    <w:p>
      <w:pPr>
        <w:pStyle w:val="4"/>
        <w:keepNext w:val="0"/>
        <w:keepLines w:val="0"/>
        <w:pageBreakBefore w:val="0"/>
        <w:widowControl w:val="0"/>
        <w:kinsoku/>
        <w:wordWrap/>
        <w:overflowPunct/>
        <w:topLinePunct w:val="0"/>
        <w:autoSpaceDE w:val="0"/>
        <w:autoSpaceDN w:val="0"/>
        <w:bidi w:val="0"/>
        <w:adjustRightInd w:val="0"/>
        <w:snapToGrid w:val="0"/>
        <w:spacing w:after="0" w:line="560" w:lineRule="exact"/>
        <w:ind w:left="0" w:right="0" w:firstLine="640" w:firstLineChars="200"/>
        <w:textAlignment w:val="baseline"/>
        <w:rPr>
          <w:rFonts w:hint="default" w:ascii="Times New Roman" w:hAnsi="Times New Roman" w:cs="Times New Roman"/>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0" w:firstLineChars="0"/>
        <w:jc w:val="center"/>
        <w:textAlignment w:val="baseline"/>
        <w:outlineLvl w:val="2"/>
        <w:rPr>
          <w:rFonts w:hint="default" w:ascii="Times New Roman" w:hAnsi="Times New Roman" w:eastAsia="黑体" w:cs="Times New Roman"/>
          <w:sz w:val="32"/>
          <w:szCs w:val="32"/>
          <w:highlight w:val="none"/>
        </w:rPr>
      </w:pPr>
      <w:r>
        <w:rPr>
          <w:rFonts w:hint="default" w:ascii="Times New Roman" w:hAnsi="Times New Roman" w:eastAsia="黑体" w:cs="Times New Roman"/>
          <w:spacing w:val="0"/>
          <w:sz w:val="32"/>
          <w:szCs w:val="32"/>
          <w:highlight w:val="none"/>
        </w:rPr>
        <w:t>第三章  审查程序</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第十一条  </w:t>
      </w:r>
      <w:r>
        <w:rPr>
          <w:rFonts w:hint="default" w:ascii="Times New Roman" w:hAnsi="Times New Roman" w:eastAsia="FangSong_GB2312" w:cs="Times New Roman"/>
          <w:spacing w:val="0"/>
          <w:sz w:val="32"/>
          <w:szCs w:val="32"/>
          <w:highlight w:val="none"/>
        </w:rPr>
        <w:t>需进行节能审查的固定资产投资项目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建设单位应编制节能报告</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不具备报告编制能力的建设单位应委托具备相应技术能力的机构编制节能报告</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项目节能报告应包括下列内容</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一</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项目概况</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二</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分析评价依据</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三</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项目建设及运营方案节能降碳分析和比选</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包括总平面布置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生产工艺</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用能工艺</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用能设备</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辅助和附属生产设施</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执行绿色建筑标准情况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能源计量器具等方面</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四</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项目能源消费情况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包括年综合能源消费量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化石能源消费量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煤炭消费量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可再生能源消费量和供给保障情况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原料用能消费量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能源消费结构；单位产品综合能耗</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单位产品化石能源消耗</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单位增加值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产值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能耗</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单位增加值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产值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化石能源消耗</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以及有关数据与国家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行业</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地方标准及国际</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国内行业先进水平的全面比较</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五</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项目碳排放情况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包括单位产品碳排放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单位增加值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产值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碳排放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碳排放总量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碳排放结构</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能源活动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工业生产过程排放等</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；单位产品碳排放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单位增加值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产值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碳排放等数据与国家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行业和地方标准及国际</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国内行业先进水平的全面比较</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六</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项目拟采取的节能降碳措施</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包括可再生能源替代</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煤炭消费控制和压减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节能低碳技术装备应用等措施及其技术</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经济论证</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七</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项目实施对所在地完成节能降碳目标任务的影响分析</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负责节能报告编制的单位应严格按照节能降碳有关法律法规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政策文件和标准规范等要求据实编制节能报告</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确保节能报告的专业性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真实性和操作性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项目建设单位应出具书面承诺</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对节能报告的真实性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合法性和完整性负责</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不得以拆分或合并项目等不正当手段逃避节能审查</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第十二条  </w:t>
      </w:r>
      <w:r>
        <w:rPr>
          <w:rFonts w:hint="eastAsia" w:ascii="Times New Roman" w:hAnsi="Times New Roman" w:eastAsia="FangSong_GB2312" w:cs="Times New Roman"/>
          <w:spacing w:val="0"/>
          <w:sz w:val="32"/>
          <w:szCs w:val="32"/>
          <w:highlight w:val="none"/>
          <w:lang w:val="en-US" w:eastAsia="zh-CN"/>
        </w:rPr>
        <w:t>需开展</w:t>
      </w:r>
      <w:r>
        <w:rPr>
          <w:rFonts w:hint="default" w:ascii="Times New Roman" w:hAnsi="Times New Roman" w:eastAsia="FangSong_GB2312" w:cs="Times New Roman"/>
          <w:spacing w:val="0"/>
          <w:sz w:val="32"/>
          <w:szCs w:val="32"/>
          <w:highlight w:val="none"/>
        </w:rPr>
        <w:t>节能审查的固定资产投资项目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国家级园区或区县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节能审查机关应靠前服务</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加强对项目节能报告的编制指导</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并开展项目实施影响分析</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项目建设单位报送的节能审查申报材料应包括建设单位上报文</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项目节能报告</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核准或备案文件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项目可行性研究报告或建设实施方案</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及项目所在国家级园区或区县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节能审查机关上报文</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国家级园区或区县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节能审查机关上报文应包括以下内容</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一</w:t>
      </w:r>
      <w:r>
        <w:rPr>
          <w:rFonts w:hint="eastAsia"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项目前期工作进展情况</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现场核实开工情况</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pacing w:val="0"/>
          <w:sz w:val="32"/>
          <w:szCs w:val="32"/>
          <w:highlight w:val="none"/>
        </w:rPr>
        <w:t>产业政策符合性及《产业结构调整指导目录》落实情况等</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二</w:t>
      </w:r>
      <w:r>
        <w:rPr>
          <w:rFonts w:hint="eastAsia"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五年规划期内各级已批复的本地区节能审查项目个数</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pacing w:val="0"/>
          <w:sz w:val="32"/>
          <w:szCs w:val="32"/>
          <w:highlight w:val="none"/>
        </w:rPr>
        <w:t>新增能源消费总量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碳排放总量和五年规划期内可形成的能源消费总量及碳排放总量</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拟申请节能审查项目建成后</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w:t>
      </w:r>
      <w:r>
        <w:rPr>
          <w:rFonts w:hint="eastAsia" w:ascii="Times New Roman" w:hAnsi="Times New Roman" w:eastAsia="FangSong_GB2312" w:cs="Times New Roman"/>
          <w:spacing w:val="0"/>
          <w:sz w:val="32"/>
          <w:szCs w:val="32"/>
          <w:highlight w:val="none"/>
          <w:lang w:val="en-US" w:eastAsia="zh-CN"/>
        </w:rPr>
        <w:t>湖南省和长沙市</w:t>
      </w:r>
      <w:r>
        <w:rPr>
          <w:rFonts w:hint="default" w:ascii="Times New Roman" w:hAnsi="Times New Roman" w:eastAsia="FangSong_GB2312" w:cs="Times New Roman"/>
          <w:spacing w:val="0"/>
          <w:sz w:val="32"/>
          <w:szCs w:val="32"/>
          <w:highlight w:val="none"/>
        </w:rPr>
        <w:t>完成节能降碳目标任务的影响</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w:t>
      </w:r>
      <w:r>
        <w:rPr>
          <w:rFonts w:hint="eastAsia" w:ascii="Times New Roman" w:hAnsi="Times New Roman" w:eastAsia="FangSong_GB2312" w:cs="Times New Roman"/>
          <w:spacing w:val="0"/>
          <w:sz w:val="32"/>
          <w:szCs w:val="32"/>
          <w:highlight w:val="none"/>
          <w:lang w:val="en-US" w:eastAsia="zh-CN"/>
        </w:rPr>
        <w:t>长沙市</w:t>
      </w:r>
      <w:r>
        <w:rPr>
          <w:rFonts w:hint="default" w:ascii="Times New Roman" w:hAnsi="Times New Roman" w:eastAsia="FangSong_GB2312" w:cs="Times New Roman"/>
          <w:spacing w:val="0"/>
          <w:sz w:val="32"/>
          <w:szCs w:val="32"/>
          <w:highlight w:val="none"/>
        </w:rPr>
        <w:t>完成能耗强度和碳排放强度降低目标有重大及以上影响的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提出可行性化解措施</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三</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是否支持项目建设的明确意见</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四</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其他需要说明的情况</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第十三条 </w:t>
      </w:r>
      <w:r>
        <w:rPr>
          <w:rFonts w:hint="eastAsia" w:ascii="Times New Roman" w:hAnsi="Times New Roman" w:eastAsia="黑体" w:cs="Times New Roman"/>
          <w:spacing w:val="0"/>
          <w:sz w:val="32"/>
          <w:szCs w:val="32"/>
          <w:highlight w:val="none"/>
          <w:lang w:val="en-US" w:eastAsia="zh-CN"/>
        </w:rPr>
        <w:t xml:space="preserve"> </w:t>
      </w:r>
      <w:r>
        <w:rPr>
          <w:rFonts w:hint="default" w:ascii="Times New Roman" w:hAnsi="Times New Roman" w:eastAsia="FangSong_GB2312" w:cs="Times New Roman"/>
          <w:spacing w:val="0"/>
          <w:sz w:val="32"/>
          <w:szCs w:val="32"/>
          <w:highlight w:val="none"/>
        </w:rPr>
        <w:t>报送国家发展改革委实施节能审查的重点领域项目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国家级园区或区县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节能审查机关上报文除本实施办法第十二条要求的内容外</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还应包括以下内容</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一</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国家级园区或区县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有关部门对项目的联合评估论证情况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包括产业管理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节能降碳</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生态环保</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资源利用等政策符合性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能效</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碳排放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污染物排放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工艺设备等技术水平先进性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以及评估论证结果等</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二</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项目实施能源消费替代</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煤炭消费控制和压减等情况及产能置换情况</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如需</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以及有权限的部门出具的核实意见</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三</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拟建项目所属细分产业在</w:t>
      </w:r>
      <w:r>
        <w:rPr>
          <w:rFonts w:hint="eastAsia" w:ascii="Times New Roman" w:hAnsi="Times New Roman" w:eastAsia="FangSong_GB2312" w:cs="Times New Roman"/>
          <w:spacing w:val="0"/>
          <w:sz w:val="32"/>
          <w:szCs w:val="32"/>
          <w:highlight w:val="none"/>
          <w:lang w:val="en-US" w:eastAsia="zh-CN"/>
        </w:rPr>
        <w:t>所在地</w:t>
      </w:r>
      <w:r>
        <w:rPr>
          <w:rFonts w:hint="default" w:ascii="Times New Roman" w:hAnsi="Times New Roman" w:eastAsia="FangSong_GB2312" w:cs="Times New Roman"/>
          <w:spacing w:val="0"/>
          <w:sz w:val="32"/>
          <w:szCs w:val="32"/>
          <w:highlight w:val="none"/>
        </w:rPr>
        <w:t>发展总体情况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既有产能规模和市场需求情况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同类存量企业生产经营情况</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黑体" w:cs="Times New Roman"/>
          <w:spacing w:val="0"/>
          <w:sz w:val="32"/>
          <w:szCs w:val="32"/>
          <w:highlight w:val="none"/>
        </w:rPr>
        <w:t xml:space="preserve">第十四条 </w:t>
      </w:r>
      <w:r>
        <w:rPr>
          <w:rFonts w:hint="eastAsia" w:ascii="Times New Roman" w:hAnsi="Times New Roman" w:eastAsia="黑体" w:cs="Times New Roman"/>
          <w:spacing w:val="0"/>
          <w:sz w:val="32"/>
          <w:szCs w:val="32"/>
          <w:highlight w:val="none"/>
          <w:lang w:val="en-US" w:eastAsia="zh-CN"/>
        </w:rPr>
        <w:t xml:space="preserve"> </w:t>
      </w:r>
      <w:r>
        <w:rPr>
          <w:rFonts w:hint="default" w:ascii="Times New Roman" w:hAnsi="Times New Roman" w:eastAsia="FangSong_GB2312" w:cs="Times New Roman"/>
          <w:spacing w:val="0"/>
          <w:sz w:val="32"/>
          <w:szCs w:val="32"/>
          <w:highlight w:val="none"/>
        </w:rPr>
        <w:t>报送国家发展改革委实施节能审查的重点领域项目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应将申报材料电子版和纸质版报送</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w:t>
      </w:r>
      <w:r>
        <w:rPr>
          <w:rFonts w:hint="default"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发展改革委会同</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级有关部门对项目进行联合评估论证后</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按要求转报</w:t>
      </w:r>
      <w:r>
        <w:rPr>
          <w:rFonts w:hint="eastAsia" w:ascii="Times New Roman" w:hAnsi="Times New Roman" w:eastAsia="FangSong_GB2312" w:cs="Times New Roman"/>
          <w:spacing w:val="0"/>
          <w:sz w:val="32"/>
          <w:szCs w:val="32"/>
          <w:highlight w:val="none"/>
          <w:lang w:val="en-US" w:eastAsia="zh-CN"/>
        </w:rPr>
        <w:t>省</w:t>
      </w:r>
      <w:r>
        <w:rPr>
          <w:rFonts w:hint="default" w:ascii="Times New Roman" w:hAnsi="Times New Roman" w:eastAsia="FangSong_GB2312" w:cs="Times New Roman"/>
          <w:spacing w:val="0"/>
          <w:sz w:val="32"/>
          <w:szCs w:val="32"/>
          <w:highlight w:val="none"/>
        </w:rPr>
        <w:t>发展改革委</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并</w:t>
      </w:r>
      <w:r>
        <w:rPr>
          <w:rFonts w:hint="eastAsia" w:ascii="Times New Roman" w:hAnsi="Times New Roman" w:eastAsia="FangSong_GB2312" w:cs="Times New Roman"/>
          <w:spacing w:val="0"/>
          <w:sz w:val="32"/>
          <w:szCs w:val="32"/>
          <w:highlight w:val="none"/>
          <w:lang w:val="en-US" w:eastAsia="zh-CN"/>
        </w:rPr>
        <w:t>配合省</w:t>
      </w:r>
      <w:r>
        <w:rPr>
          <w:rFonts w:hint="default" w:ascii="Times New Roman" w:hAnsi="Times New Roman" w:eastAsia="FangSong_GB2312" w:cs="Times New Roman"/>
          <w:spacing w:val="0"/>
          <w:sz w:val="32"/>
          <w:szCs w:val="32"/>
          <w:highlight w:val="none"/>
        </w:rPr>
        <w:t>发展改革委指导项目单位同步通过全国投资项目在线审批监管平台和国家发展改革委网上政务大厅系统完成线上申请流程</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jc w:val="both"/>
        <w:textAlignment w:val="baseline"/>
        <w:rPr>
          <w:rFonts w:hint="eastAsia" w:ascii="Times New Roman" w:hAnsi="Times New Roman" w:eastAsia="FangSong_GB2312" w:cs="Times New Roman"/>
          <w:spacing w:val="0"/>
          <w:sz w:val="32"/>
          <w:szCs w:val="32"/>
          <w:highlight w:val="none"/>
          <w:lang w:eastAsia="zh-CN"/>
        </w:rPr>
      </w:pPr>
      <w:r>
        <w:rPr>
          <w:rFonts w:hint="default" w:ascii="Times New Roman" w:hAnsi="Times New Roman" w:eastAsia="FangSong_GB2312" w:cs="Times New Roman"/>
          <w:spacing w:val="0"/>
          <w:sz w:val="32"/>
          <w:szCs w:val="32"/>
          <w:highlight w:val="none"/>
        </w:rPr>
        <w:t>报送</w:t>
      </w:r>
      <w:r>
        <w:rPr>
          <w:rFonts w:hint="eastAsia" w:ascii="Times New Roman" w:hAnsi="Times New Roman" w:eastAsia="FangSong_GB2312" w:cs="Times New Roman"/>
          <w:spacing w:val="0"/>
          <w:sz w:val="32"/>
          <w:szCs w:val="32"/>
          <w:highlight w:val="none"/>
          <w:lang w:eastAsia="zh-CN"/>
        </w:rPr>
        <w:t>省</w:t>
      </w:r>
      <w:r>
        <w:rPr>
          <w:rFonts w:hint="default" w:ascii="Times New Roman" w:hAnsi="Times New Roman" w:eastAsia="FangSong_GB2312" w:cs="Times New Roman"/>
          <w:spacing w:val="0"/>
          <w:sz w:val="32"/>
          <w:szCs w:val="32"/>
          <w:highlight w:val="none"/>
        </w:rPr>
        <w:t>发展改革委实施节能审查的固定资产投资项目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应将申报材料电子版和纸质版报送</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w:t>
      </w:r>
      <w:r>
        <w:rPr>
          <w:rFonts w:hint="default"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发展改革委按要求转报</w:t>
      </w:r>
      <w:r>
        <w:rPr>
          <w:rFonts w:hint="eastAsia" w:ascii="Times New Roman" w:hAnsi="Times New Roman" w:eastAsia="FangSong_GB2312" w:cs="Times New Roman"/>
          <w:spacing w:val="0"/>
          <w:sz w:val="32"/>
          <w:szCs w:val="32"/>
          <w:highlight w:val="none"/>
          <w:lang w:val="en-US" w:eastAsia="zh-CN"/>
        </w:rPr>
        <w:t>省</w:t>
      </w:r>
      <w:r>
        <w:rPr>
          <w:rFonts w:hint="default" w:ascii="Times New Roman" w:hAnsi="Times New Roman" w:eastAsia="FangSong_GB2312" w:cs="Times New Roman"/>
          <w:spacing w:val="0"/>
          <w:sz w:val="32"/>
          <w:szCs w:val="32"/>
          <w:highlight w:val="none"/>
        </w:rPr>
        <w:t>发展改革委</w:t>
      </w:r>
      <w:r>
        <w:rPr>
          <w:rFonts w:hint="eastAsia"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FangSong_GB2312" w:cs="Times New Roman"/>
          <w:spacing w:val="0"/>
          <w:sz w:val="32"/>
          <w:szCs w:val="32"/>
          <w:highlight w:val="none"/>
        </w:rPr>
        <w:t>报送</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级及以下节能审查机关实施节能审查的固定资产投资项目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应根据节能审查权限</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通过湖南省投资项目在线审批监管平台</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fldChar w:fldCharType="begin"/>
      </w:r>
      <w:r>
        <w:rPr>
          <w:rFonts w:hint="default" w:ascii="Times New Roman" w:hAnsi="Times New Roman" w:eastAsia="FangSong_GB2312" w:cs="Times New Roman"/>
          <w:spacing w:val="0"/>
          <w:sz w:val="32"/>
          <w:szCs w:val="32"/>
          <w:highlight w:val="none"/>
        </w:rPr>
        <w:instrText xml:space="preserve"> HYPERLINK "https://zwfw-new.hunan.gov.cn" </w:instrText>
      </w:r>
      <w:r>
        <w:rPr>
          <w:rFonts w:hint="default" w:ascii="Times New Roman" w:hAnsi="Times New Roman" w:eastAsia="FangSong_GB2312" w:cs="Times New Roman"/>
          <w:spacing w:val="0"/>
          <w:sz w:val="32"/>
          <w:szCs w:val="32"/>
          <w:highlight w:val="none"/>
        </w:rPr>
        <w:fldChar w:fldCharType="separate"/>
      </w:r>
      <w:r>
        <w:rPr>
          <w:rFonts w:hint="default" w:ascii="Times New Roman" w:hAnsi="Times New Roman" w:eastAsia="FangSong_GB2312" w:cs="Times New Roman"/>
          <w:spacing w:val="0"/>
          <w:sz w:val="32"/>
          <w:szCs w:val="32"/>
          <w:highlight w:val="none"/>
        </w:rPr>
        <w:t>https://zwfw-new.hunan.gov.cn</w:t>
      </w:r>
      <w:r>
        <w:rPr>
          <w:rFonts w:hint="default" w:ascii="Times New Roman" w:hAnsi="Times New Roman" w:eastAsia="FangSong_GB2312" w:cs="Times New Roman"/>
          <w:spacing w:val="0"/>
          <w:sz w:val="32"/>
          <w:szCs w:val="32"/>
          <w:highlight w:val="none"/>
        </w:rPr>
        <w:fldChar w:fldCharType="end"/>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提交申报资料</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节能审查申报材料要素齐全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节能报告内容深度达到审查要求</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符合法定形式的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节能审查机关应当予以受理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相关材料不符合要求的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节能审查机关应当当场或者</w:t>
      </w:r>
      <w:r>
        <w:rPr>
          <w:rFonts w:hint="eastAsia" w:ascii="Times New Roman" w:hAnsi="Times New Roman" w:eastAsia="FangSong_GB2312" w:cs="Times New Roman"/>
          <w:spacing w:val="0"/>
          <w:sz w:val="32"/>
          <w:szCs w:val="32"/>
          <w:highlight w:val="none"/>
          <w:lang w:val="en-US" w:eastAsia="zh-CN"/>
        </w:rPr>
        <w:t>5</w:t>
      </w:r>
      <w:r>
        <w:rPr>
          <w:rFonts w:hint="default" w:ascii="Times New Roman" w:hAnsi="Times New Roman" w:eastAsia="FangSong_GB2312" w:cs="Times New Roman"/>
          <w:spacing w:val="0"/>
          <w:sz w:val="32"/>
          <w:szCs w:val="32"/>
          <w:highlight w:val="none"/>
        </w:rPr>
        <w:t>个工作日内一次告知建设单位需要补正的全部内容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逾期不告知的</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自收到报告之日起即为受理</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第十五条  </w:t>
      </w:r>
      <w:r>
        <w:rPr>
          <w:rFonts w:hint="default" w:ascii="Times New Roman" w:hAnsi="Times New Roman" w:eastAsia="FangSong_GB2312" w:cs="Times New Roman"/>
          <w:spacing w:val="0"/>
          <w:sz w:val="32"/>
          <w:szCs w:val="32"/>
          <w:highlight w:val="none"/>
        </w:rPr>
        <w:t>报送</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级及以下节能审查机关实施节能审查的固定资产投资项目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节能审查机关受理节能申报材料后</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应委托具备技术能力的机构进行评审</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形成评审意见</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作为节能审查的重要依据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节能评审机构如已参与某一项目前期工作</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包括节能报告编制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可行性研究报告编制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资金申请报告编制等</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不得承担该项目节能报告评审工作</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第十六条 </w:t>
      </w:r>
      <w:r>
        <w:rPr>
          <w:rFonts w:hint="eastAsia" w:ascii="Times New Roman" w:hAnsi="Times New Roman" w:eastAsia="黑体" w:cs="Times New Roman"/>
          <w:spacing w:val="0"/>
          <w:sz w:val="32"/>
          <w:szCs w:val="32"/>
          <w:highlight w:val="none"/>
          <w:lang w:val="en-US" w:eastAsia="zh-CN"/>
        </w:rPr>
        <w:t xml:space="preserve"> </w:t>
      </w:r>
      <w:r>
        <w:rPr>
          <w:rFonts w:hint="default" w:ascii="Times New Roman" w:hAnsi="Times New Roman" w:eastAsia="FangSong_GB2312" w:cs="Times New Roman"/>
          <w:spacing w:val="0"/>
          <w:sz w:val="32"/>
          <w:szCs w:val="32"/>
          <w:highlight w:val="none"/>
        </w:rPr>
        <w:t>节能审查机关应当从以下方面对项目节能报告进行审查</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一</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项目是否符合节能降碳有关法律法规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标准规范</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政策制度和工作管理要求</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二</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项目主要用能设备能效必须达到强制性能效标准或相关标准2级以上或节能评价值</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单位产品综合能耗/工序能耗原则上要达到强制性能源消耗限额标准或相关标准1级</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或先进值</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或行业标杆水平</w:t>
      </w:r>
      <w:r>
        <w:rPr>
          <w:rFonts w:hint="eastAsia" w:ascii="仿宋_GB2312" w:hAnsi="仿宋_GB2312" w:eastAsia="仿宋_GB2312" w:cs="仿宋_GB2312"/>
          <w:spacing w:val="0"/>
          <w:sz w:val="32"/>
          <w:szCs w:val="32"/>
          <w:highlight w:val="none"/>
          <w:lang w:eastAsia="zh-CN"/>
        </w:rPr>
        <w:t>（</w:t>
      </w:r>
      <w:r>
        <w:rPr>
          <w:rFonts w:hint="default" w:ascii="Times New Roman" w:hAnsi="Times New Roman" w:eastAsia="FangSong_GB2312" w:cs="Times New Roman"/>
          <w:spacing w:val="0"/>
          <w:sz w:val="32"/>
          <w:szCs w:val="32"/>
          <w:highlight w:val="none"/>
        </w:rPr>
        <w:t>高耗能高排放项目主要用能设备能效必须达到先进水平</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主要产品设计能效必须达到标杆水平</w:t>
      </w:r>
      <w:r>
        <w:rPr>
          <w:rFonts w:hint="eastAsia" w:ascii="仿宋_GB2312" w:hAnsi="仿宋_GB2312" w:eastAsia="仿宋_GB2312" w:cs="仿宋_GB2312"/>
          <w:spacing w:val="0"/>
          <w:sz w:val="32"/>
          <w:szCs w:val="32"/>
          <w:highlight w:val="none"/>
          <w:lang w:eastAsia="zh-CN"/>
        </w:rPr>
        <w:t>）</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三</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项目节能降碳措施是否有力有效</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合</w:t>
      </w:r>
      <w:bookmarkStart w:id="2" w:name="_GoBack"/>
      <w:bookmarkEnd w:id="2"/>
      <w:r>
        <w:rPr>
          <w:rFonts w:hint="default" w:ascii="Times New Roman" w:hAnsi="Times New Roman" w:eastAsia="FangSong_GB2312" w:cs="Times New Roman"/>
          <w:spacing w:val="0"/>
          <w:sz w:val="32"/>
          <w:szCs w:val="32"/>
          <w:highlight w:val="none"/>
        </w:rPr>
        <w:t>理可行</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能源管理体系是否完备</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四</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项目能效水平</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能源消费和碳排放等相关数据核算及分析论证是否客观精准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方法是否科学</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结论是否准确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是否满足本地区节能降碳工作管理要求</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五</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对于应当开展碳排放评价的项目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重点评价项目是否影响所在地区碳排放形势</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是否影响所在地区碳排放强度降低目标完成</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单位产品和产值碳排放是否符合国家与行业标准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是否应用先进技术挖掘降碳潜力等</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第十七条  </w:t>
      </w:r>
      <w:r>
        <w:rPr>
          <w:rFonts w:hint="default" w:ascii="Times New Roman" w:hAnsi="Times New Roman" w:eastAsia="FangSong_GB2312" w:cs="Times New Roman"/>
          <w:spacing w:val="0"/>
          <w:sz w:val="32"/>
          <w:szCs w:val="32"/>
          <w:highlight w:val="none"/>
        </w:rPr>
        <w:t>节能审查机关应在受理之日起</w:t>
      </w:r>
      <w:r>
        <w:rPr>
          <w:rFonts w:hint="default" w:ascii="Times New Roman" w:hAnsi="Times New Roman" w:eastAsia="Times New Roman" w:cs="Times New Roman"/>
          <w:spacing w:val="0"/>
          <w:sz w:val="32"/>
          <w:szCs w:val="32"/>
          <w:highlight w:val="none"/>
        </w:rPr>
        <w:t>10</w:t>
      </w:r>
      <w:r>
        <w:rPr>
          <w:rFonts w:hint="default" w:ascii="Times New Roman" w:hAnsi="Times New Roman" w:eastAsia="FangSong_GB2312" w:cs="Times New Roman"/>
          <w:spacing w:val="0"/>
          <w:sz w:val="32"/>
          <w:szCs w:val="32"/>
          <w:highlight w:val="none"/>
        </w:rPr>
        <w:t>个工作日内</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节能报告委托评审时间不计算在时限内</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对于符合要求的项目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出具节能审查意见；对于属于下列情形之一的项目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出具不予通过节能审查的意见</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一</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项目已违规开工建设隐瞒不报的</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二</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未通过节能评审的</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三</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相关部门出具不予支持意见的</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四</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存在提供虚假材料等违规行为的</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五</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其他不符合国家和</w:t>
      </w:r>
      <w:r>
        <w:rPr>
          <w:rFonts w:hint="eastAsia" w:ascii="Times New Roman" w:hAnsi="Times New Roman" w:eastAsia="FangSong_GB2312" w:cs="Times New Roman"/>
          <w:spacing w:val="0"/>
          <w:sz w:val="32"/>
          <w:szCs w:val="32"/>
          <w:highlight w:val="none"/>
          <w:lang w:val="en-US" w:eastAsia="zh-CN"/>
        </w:rPr>
        <w:t>地区</w:t>
      </w:r>
      <w:r>
        <w:rPr>
          <w:rFonts w:hint="default" w:ascii="Times New Roman" w:hAnsi="Times New Roman" w:eastAsia="FangSong_GB2312" w:cs="Times New Roman"/>
          <w:spacing w:val="0"/>
          <w:sz w:val="32"/>
          <w:szCs w:val="32"/>
          <w:highlight w:val="none"/>
        </w:rPr>
        <w:t>相关规定的</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FangSong_GB2312" w:cs="Times New Roman"/>
          <w:sz w:val="32"/>
          <w:szCs w:val="32"/>
          <w:highlight w:val="none"/>
        </w:rPr>
        <w:t>节能审查机关应自出具节能审查意见之日起</w:t>
      </w:r>
      <w:r>
        <w:rPr>
          <w:rFonts w:hint="default" w:ascii="Times New Roman" w:hAnsi="Times New Roman" w:eastAsia="Times New Roman" w:cs="Times New Roman"/>
          <w:sz w:val="32"/>
          <w:szCs w:val="32"/>
          <w:highlight w:val="none"/>
        </w:rPr>
        <w:t>7</w:t>
      </w:r>
      <w:r>
        <w:rPr>
          <w:rFonts w:hint="default" w:ascii="Times New Roman" w:hAnsi="Times New Roman" w:eastAsia="FangSong_GB2312" w:cs="Times New Roman"/>
          <w:sz w:val="32"/>
          <w:szCs w:val="32"/>
          <w:highlight w:val="none"/>
        </w:rPr>
        <w:t>个工作日内</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通过其网站或其他方式向社会公告节能审查信息</w:t>
      </w:r>
      <w:r>
        <w:rPr>
          <w:rFonts w:hint="default" w:ascii="Times New Roman" w:hAnsi="Times New Roman" w:eastAsia="FangSong_GB2312" w:cs="Times New Roman"/>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第十八条</w:t>
      </w:r>
      <w:r>
        <w:rPr>
          <w:rFonts w:hint="default" w:ascii="Times New Roman" w:hAnsi="Times New Roman" w:eastAsia="黑体" w:cs="Times New Roman"/>
          <w:spacing w:val="0"/>
          <w:sz w:val="32"/>
          <w:szCs w:val="32"/>
          <w:highlight w:val="none"/>
          <w:lang w:val="en-US" w:eastAsia="zh-CN"/>
        </w:rPr>
        <w:t xml:space="preserve">  </w:t>
      </w:r>
      <w:r>
        <w:rPr>
          <w:rFonts w:hint="default" w:ascii="Times New Roman" w:hAnsi="Times New Roman" w:eastAsia="FangSong_GB2312" w:cs="Times New Roman"/>
          <w:sz w:val="32"/>
          <w:szCs w:val="32"/>
          <w:highlight w:val="none"/>
        </w:rPr>
        <w:t>节能评审机构应在节能审查机关规定的时间内提出评审意见</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除项目情况复杂的</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评审时限不得超过20个工作日</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项目情况复杂的</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可以延长评审时限</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但延长的期限不得超过20个工作日</w:t>
      </w:r>
      <w:r>
        <w:rPr>
          <w:rFonts w:hint="default"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rPr>
        <w:t>建设单位修改节能报告时间不计算在本条规定的评审时限内</w:t>
      </w:r>
      <w:r>
        <w:rPr>
          <w:rFonts w:hint="default" w:ascii="Times New Roman" w:hAnsi="Times New Roman" w:eastAsia="FangSong_GB2312" w:cs="Times New Roman"/>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第十九条  </w:t>
      </w:r>
      <w:r>
        <w:rPr>
          <w:rFonts w:hint="default" w:ascii="Times New Roman" w:hAnsi="Times New Roman" w:eastAsia="FangSong_GB2312" w:cs="Times New Roman"/>
          <w:spacing w:val="0"/>
          <w:sz w:val="32"/>
          <w:szCs w:val="32"/>
          <w:highlight w:val="none"/>
        </w:rPr>
        <w:t>项目建设单位应严格按照节能审查意见开展项目建设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通过节能审查的项目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在开工建设前或建设过程中发生重大变动的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建设单位应向原节能审查机关提交变更申请</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项目节能审查权限发生变化的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建设单位应向有权审查机关提交变更申请</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节能审查机关依据实际情况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作出同意变更的决定或重新进行节能审查</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项目重大变动的情形包括下列方面</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left"/>
        <w:textAlignment w:val="baseline"/>
        <w:rPr>
          <w:rFonts w:hint="default" w:ascii="Times New Roman" w:hAnsi="Times New Roman" w:eastAsia="FangSong_GB2312" w:cs="Times New Roman"/>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一</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建设单位</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建设地点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建设规模发生变化</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left"/>
        <w:textAlignment w:val="baseline"/>
        <w:rPr>
          <w:rFonts w:hint="default" w:ascii="Times New Roman" w:hAnsi="Times New Roman" w:eastAsia="FangSong_GB2312" w:cs="Times New Roman"/>
          <w:spacing w:val="-6"/>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二</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6"/>
          <w:sz w:val="32"/>
          <w:szCs w:val="32"/>
          <w:highlight w:val="none"/>
        </w:rPr>
        <w:t>主要生产装置</w:t>
      </w:r>
      <w:r>
        <w:rPr>
          <w:rFonts w:hint="default" w:ascii="Times New Roman" w:hAnsi="Times New Roman" w:eastAsia="FangSong_GB2312" w:cs="Times New Roman"/>
          <w:spacing w:val="-6"/>
          <w:sz w:val="32"/>
          <w:szCs w:val="32"/>
          <w:highlight w:val="none"/>
          <w:lang w:eastAsia="zh-CN"/>
        </w:rPr>
        <w:t>、</w:t>
      </w:r>
      <w:r>
        <w:rPr>
          <w:rFonts w:hint="default" w:ascii="Times New Roman" w:hAnsi="Times New Roman" w:eastAsia="FangSong_GB2312" w:cs="Times New Roman"/>
          <w:spacing w:val="-6"/>
          <w:sz w:val="32"/>
          <w:szCs w:val="32"/>
          <w:highlight w:val="none"/>
        </w:rPr>
        <w:t>用能设备</w:t>
      </w:r>
      <w:r>
        <w:rPr>
          <w:rFonts w:hint="default" w:ascii="Times New Roman" w:hAnsi="Times New Roman" w:eastAsia="FangSong_GB2312" w:cs="Times New Roman"/>
          <w:spacing w:val="-6"/>
          <w:sz w:val="32"/>
          <w:szCs w:val="32"/>
          <w:highlight w:val="none"/>
          <w:lang w:eastAsia="zh-CN"/>
        </w:rPr>
        <w:t>、</w:t>
      </w:r>
      <w:r>
        <w:rPr>
          <w:rFonts w:hint="default" w:ascii="Times New Roman" w:hAnsi="Times New Roman" w:eastAsia="FangSong_GB2312" w:cs="Times New Roman"/>
          <w:spacing w:val="-6"/>
          <w:sz w:val="32"/>
          <w:szCs w:val="32"/>
          <w:highlight w:val="none"/>
        </w:rPr>
        <w:t>工艺技术路线等</w:t>
      </w:r>
      <w:r>
        <w:rPr>
          <w:rFonts w:hint="eastAsia" w:ascii="Times New Roman" w:hAnsi="Times New Roman" w:eastAsia="FangSong_GB2312" w:cs="Times New Roman"/>
          <w:spacing w:val="-6"/>
          <w:sz w:val="32"/>
          <w:szCs w:val="32"/>
          <w:highlight w:val="none"/>
          <w:lang w:val="en-US" w:eastAsia="zh-CN"/>
        </w:rPr>
        <w:t>发生变化</w:t>
      </w:r>
      <w:r>
        <w:rPr>
          <w:rFonts w:hint="default" w:ascii="Times New Roman" w:hAnsi="Times New Roman" w:eastAsia="FangSong_GB2312" w:cs="Times New Roman"/>
          <w:spacing w:val="-6"/>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left"/>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三</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主要产品品种发生变化</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left"/>
        <w:textAlignment w:val="baseline"/>
        <w:rPr>
          <w:rFonts w:hint="default" w:ascii="Times New Roman" w:hAnsi="Times New Roman" w:eastAsia="FangSong_GB2312" w:cs="Times New Roman"/>
          <w:spacing w:val="0"/>
          <w:sz w:val="32"/>
          <w:szCs w:val="32"/>
          <w:highlight w:val="none"/>
          <w:lang w:eastAsia="zh-CN"/>
        </w:rPr>
      </w:pP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四</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项目其他方面较节能报告</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节能审查意见等发生重大变化</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如年实际综合能源消费量超过节能审查批复水平10%以上等</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第二十条 </w:t>
      </w:r>
      <w:r>
        <w:rPr>
          <w:rFonts w:hint="eastAsia" w:ascii="Times New Roman" w:hAnsi="Times New Roman" w:eastAsia="黑体" w:cs="Times New Roman"/>
          <w:spacing w:val="0"/>
          <w:sz w:val="32"/>
          <w:szCs w:val="32"/>
          <w:highlight w:val="none"/>
          <w:lang w:val="en-US" w:eastAsia="zh-CN"/>
        </w:rPr>
        <w:t xml:space="preserve"> </w:t>
      </w:r>
      <w:r>
        <w:rPr>
          <w:rFonts w:hint="default" w:ascii="Times New Roman" w:hAnsi="Times New Roman" w:eastAsia="FangSong_GB2312" w:cs="Times New Roman"/>
          <w:spacing w:val="0"/>
          <w:sz w:val="32"/>
          <w:szCs w:val="32"/>
          <w:highlight w:val="none"/>
        </w:rPr>
        <w:t>项目自节能审查机关出具节能审查意见或同意变更决定之日起</w:t>
      </w:r>
      <w:r>
        <w:rPr>
          <w:rFonts w:hint="eastAsia" w:ascii="Times New Roman" w:hAnsi="Times New Roman" w:eastAsia="FangSong_GB2312" w:cs="Times New Roman"/>
          <w:spacing w:val="0"/>
          <w:sz w:val="32"/>
          <w:szCs w:val="32"/>
          <w:highlight w:val="none"/>
          <w:lang w:val="en-US" w:eastAsia="zh-CN"/>
        </w:rPr>
        <w:t>2年</w:t>
      </w:r>
      <w:r>
        <w:rPr>
          <w:rFonts w:hint="default" w:ascii="Times New Roman" w:hAnsi="Times New Roman" w:eastAsia="FangSong_GB2312" w:cs="Times New Roman"/>
          <w:spacing w:val="0"/>
          <w:sz w:val="32"/>
          <w:szCs w:val="32"/>
          <w:highlight w:val="none"/>
        </w:rPr>
        <w:t>内未开工建设</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节能审查意见或同意变更决定自动失效</w:t>
      </w:r>
      <w:r>
        <w:rPr>
          <w:rFonts w:hint="default" w:ascii="Times New Roman" w:hAnsi="Times New Roman" w:eastAsia="FangSong_GB2312" w:cs="Times New Roman"/>
          <w:spacing w:val="0"/>
          <w:sz w:val="32"/>
          <w:szCs w:val="32"/>
          <w:highlight w:val="none"/>
          <w:lang w:eastAsia="zh-CN"/>
        </w:rPr>
        <w:t>。</w:t>
      </w:r>
    </w:p>
    <w:p>
      <w:pPr>
        <w:pStyle w:val="4"/>
        <w:keepNext w:val="0"/>
        <w:keepLines w:val="0"/>
        <w:pageBreakBefore w:val="0"/>
        <w:widowControl w:val="0"/>
        <w:kinsoku/>
        <w:wordWrap/>
        <w:overflowPunct/>
        <w:topLinePunct w:val="0"/>
        <w:autoSpaceDE w:val="0"/>
        <w:autoSpaceDN w:val="0"/>
        <w:bidi w:val="0"/>
        <w:adjustRightInd w:val="0"/>
        <w:snapToGrid w:val="0"/>
        <w:spacing w:after="0" w:line="560" w:lineRule="exact"/>
        <w:ind w:left="0" w:right="0" w:firstLine="640" w:firstLineChars="200"/>
        <w:textAlignment w:val="baseline"/>
        <w:rPr>
          <w:rFonts w:hint="default" w:ascii="Times New Roman" w:hAnsi="Times New Roman" w:cs="Times New Roman"/>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0" w:firstLineChars="0"/>
        <w:jc w:val="center"/>
        <w:textAlignment w:val="baseline"/>
        <w:outlineLvl w:val="2"/>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第四章 监督管理</w:t>
      </w:r>
    </w:p>
    <w:p>
      <w:pPr>
        <w:keepNext w:val="0"/>
        <w:keepLines w:val="0"/>
        <w:pageBreakBefore w:val="0"/>
        <w:widowControl w:val="0"/>
        <w:tabs>
          <w:tab w:val="left" w:pos="7770"/>
        </w:tabs>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第二十一条  </w:t>
      </w:r>
      <w:r>
        <w:rPr>
          <w:rFonts w:hint="default" w:ascii="Times New Roman" w:hAnsi="Times New Roman" w:eastAsia="FangSong_GB2312" w:cs="Times New Roman"/>
          <w:spacing w:val="0"/>
          <w:sz w:val="32"/>
          <w:szCs w:val="32"/>
          <w:highlight w:val="none"/>
        </w:rPr>
        <w:t>固定资产投资项目节能审查应纳入湖南省投资项目在线审批监管平台统一管理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实行网上受理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办理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监管和服务</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实现审查过程和结果的可查询</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可监督</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第二十二条  </w:t>
      </w:r>
      <w:r>
        <w:rPr>
          <w:rFonts w:hint="default" w:ascii="Times New Roman" w:hAnsi="Times New Roman" w:eastAsia="FangSong_GB2312" w:cs="Times New Roman"/>
          <w:spacing w:val="0"/>
          <w:sz w:val="32"/>
          <w:szCs w:val="32"/>
          <w:highlight w:val="none"/>
        </w:rPr>
        <w:t>固定资产投资项目投入生产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使用前</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按规定需要试运行的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原则上应在试运行之日起</w:t>
      </w:r>
      <w:r>
        <w:rPr>
          <w:rFonts w:hint="eastAsia" w:ascii="Times New Roman" w:hAnsi="Times New Roman" w:eastAsia="FangSong_GB2312" w:cs="Times New Roman"/>
          <w:spacing w:val="0"/>
          <w:sz w:val="32"/>
          <w:szCs w:val="32"/>
          <w:highlight w:val="none"/>
          <w:lang w:val="en-US" w:eastAsia="zh-CN"/>
        </w:rPr>
        <w:t>6</w:t>
      </w:r>
      <w:r>
        <w:rPr>
          <w:rFonts w:hint="default" w:ascii="Times New Roman" w:hAnsi="Times New Roman" w:eastAsia="FangSong_GB2312" w:cs="Times New Roman"/>
          <w:spacing w:val="0"/>
          <w:sz w:val="32"/>
          <w:szCs w:val="32"/>
          <w:highlight w:val="none"/>
        </w:rPr>
        <w:t>个月内</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项目建设单位应组织对项目节能审查意见落实情况和节能报告中的生产工艺</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用能设备</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节能降碳技术</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能源计量器具等落实情况进行验收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据实编制节能审查验收自查报告</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对报告内容和结论的真实性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准确性和完整性负责</w:t>
      </w:r>
      <w:r>
        <w:rPr>
          <w:rFonts w:hint="default"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eastAsia="zh-CN"/>
        </w:rPr>
        <w:t>实行告知承诺管理的项目，应对项目承诺内容进行验收。</w:t>
      </w:r>
      <w:r>
        <w:rPr>
          <w:rFonts w:hint="default" w:ascii="Times New Roman" w:hAnsi="Times New Roman" w:eastAsia="FangSong_GB2312" w:cs="Times New Roman"/>
          <w:spacing w:val="0"/>
          <w:sz w:val="32"/>
          <w:szCs w:val="32"/>
          <w:highlight w:val="none"/>
        </w:rPr>
        <w:t>分期建设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投入生产使用的项目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应分期进行验收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未经节能验收或验收不合格的项目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不得投入生产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节能审查验收自查报告应及时报</w:t>
      </w:r>
      <w:r>
        <w:rPr>
          <w:rFonts w:hint="eastAsia" w:ascii="Times New Roman" w:hAnsi="Times New Roman" w:eastAsia="FangSong_GB2312" w:cs="Times New Roman"/>
          <w:spacing w:val="0"/>
          <w:sz w:val="32"/>
          <w:szCs w:val="32"/>
          <w:highlight w:val="none"/>
          <w:lang w:eastAsia="zh-CN"/>
        </w:rPr>
        <w:t>管理节能工作的部门</w:t>
      </w:r>
      <w:r>
        <w:rPr>
          <w:rFonts w:hint="default" w:ascii="Times New Roman" w:hAnsi="Times New Roman" w:eastAsia="FangSong_GB2312" w:cs="Times New Roman"/>
          <w:spacing w:val="0"/>
          <w:sz w:val="32"/>
          <w:szCs w:val="32"/>
          <w:highlight w:val="none"/>
        </w:rPr>
        <w:t>存档备查</w:t>
      </w:r>
      <w:r>
        <w:rPr>
          <w:rFonts w:hint="default" w:ascii="Times New Roman" w:hAnsi="Times New Roman" w:eastAsia="FangSong_GB2312" w:cs="Times New Roman"/>
          <w:spacing w:val="0"/>
          <w:sz w:val="32"/>
          <w:szCs w:val="32"/>
          <w:highlight w:val="none"/>
          <w:lang w:eastAsia="zh-CN"/>
        </w:rPr>
        <w:t>。</w:t>
      </w:r>
      <w:r>
        <w:rPr>
          <w:rFonts w:hint="eastAsia" w:ascii="Times New Roman" w:hAnsi="Times New Roman" w:eastAsia="FangSong_GB2312" w:cs="Times New Roman"/>
          <w:spacing w:val="0"/>
          <w:sz w:val="32"/>
          <w:szCs w:val="32"/>
          <w:highlight w:val="none"/>
          <w:lang w:eastAsia="zh-CN"/>
        </w:rPr>
        <w:t>项目节能验收工作根据</w:t>
      </w:r>
      <w:r>
        <w:rPr>
          <w:rFonts w:hint="default" w:ascii="Times New Roman" w:hAnsi="Times New Roman" w:eastAsia="FangSong_GB2312" w:cs="Times New Roman"/>
          <w:spacing w:val="0"/>
          <w:sz w:val="32"/>
          <w:szCs w:val="32"/>
          <w:highlight w:val="none"/>
        </w:rPr>
        <w:t>省发展改革委</w:t>
      </w:r>
      <w:r>
        <w:rPr>
          <w:rFonts w:hint="eastAsia" w:ascii="Times New Roman" w:hAnsi="Times New Roman" w:eastAsia="FangSong_GB2312" w:cs="Times New Roman"/>
          <w:spacing w:val="0"/>
          <w:sz w:val="32"/>
          <w:szCs w:val="32"/>
          <w:highlight w:val="none"/>
          <w:lang w:eastAsia="zh-CN"/>
        </w:rPr>
        <w:t>制定的节能</w:t>
      </w:r>
      <w:r>
        <w:rPr>
          <w:rFonts w:hint="default" w:ascii="Times New Roman" w:hAnsi="Times New Roman" w:eastAsia="FangSong_GB2312" w:cs="Times New Roman"/>
          <w:spacing w:val="0"/>
          <w:sz w:val="32"/>
          <w:szCs w:val="32"/>
          <w:highlight w:val="none"/>
        </w:rPr>
        <w:t>验收具体实施办法</w:t>
      </w:r>
      <w:r>
        <w:rPr>
          <w:rFonts w:hint="eastAsia" w:ascii="Times New Roman" w:hAnsi="Times New Roman" w:eastAsia="FangSong_GB2312" w:cs="Times New Roman"/>
          <w:spacing w:val="0"/>
          <w:sz w:val="32"/>
          <w:szCs w:val="32"/>
          <w:highlight w:val="none"/>
          <w:lang w:eastAsia="zh-CN"/>
        </w:rPr>
        <w:t>实施</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第二十三条  </w:t>
      </w:r>
      <w:r>
        <w:rPr>
          <w:rFonts w:hint="default" w:ascii="Times New Roman" w:hAnsi="Times New Roman" w:eastAsia="FangSong_GB2312" w:cs="Times New Roman"/>
          <w:spacing w:val="0"/>
          <w:sz w:val="32"/>
          <w:szCs w:val="32"/>
          <w:highlight w:val="none"/>
        </w:rPr>
        <w:t>固定资产投资项目节能审查日常监督管理和违法违规行为处理按照属地管理原则由</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级及以下管理节能工作的部门负责</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各级管理节能工作的部门要将节能审查实施情况作为节能监察的重点内容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按照“双随机</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一公开”原则组织对项目节能审查验收</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节能审查意见落实等情况进行监督检查</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监督检查结果作为节能降碳相关评价考核的重要内容</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第二十四条  </w:t>
      </w:r>
      <w:r>
        <w:rPr>
          <w:rFonts w:hint="default" w:ascii="Times New Roman" w:hAnsi="Times New Roman" w:eastAsia="FangSong_GB2312" w:cs="Times New Roman"/>
          <w:spacing w:val="0"/>
          <w:sz w:val="32"/>
          <w:szCs w:val="32"/>
          <w:highlight w:val="none"/>
        </w:rPr>
        <w:t>各级管理节能工作的部门应加强节能审查信息的统计分析</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系统梳理本地区已批复节能审查项目情况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定期调度已投产项目能源消费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碳排放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能效水平等情况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作为研判节能降碳形势</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开展节能降碳工作的重要参考</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FangSong_GB2312" w:cs="Times New Roman"/>
          <w:spacing w:val="0"/>
          <w:sz w:val="32"/>
          <w:szCs w:val="32"/>
          <w:highlight w:val="none"/>
        </w:rPr>
        <w:t>国家级园区或区县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管理节能工作的部门应定期向</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发展改革委报告本地区节能审查实施情况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按要求报送项目节能审查信息和已投产项目调度数据</w:t>
      </w:r>
      <w:r>
        <w:rPr>
          <w:rFonts w:hint="default" w:ascii="Times New Roman" w:hAnsi="Times New Roman" w:eastAsia="FangSong_GB2312" w:cs="Times New Roman"/>
          <w:spacing w:val="0"/>
          <w:sz w:val="32"/>
          <w:szCs w:val="32"/>
          <w:highlight w:val="none"/>
          <w:lang w:eastAsia="zh-CN"/>
        </w:rPr>
        <w:t>。</w:t>
      </w:r>
    </w:p>
    <w:p>
      <w:pPr>
        <w:pStyle w:val="4"/>
        <w:keepNext w:val="0"/>
        <w:keepLines w:val="0"/>
        <w:pageBreakBefore w:val="0"/>
        <w:widowControl w:val="0"/>
        <w:kinsoku/>
        <w:wordWrap/>
        <w:overflowPunct/>
        <w:topLinePunct w:val="0"/>
        <w:autoSpaceDE/>
        <w:autoSpaceDN/>
        <w:bidi w:val="0"/>
        <w:adjustRightInd w:val="0"/>
        <w:snapToGrid w:val="0"/>
        <w:spacing w:after="0" w:line="580" w:lineRule="exact"/>
        <w:ind w:left="0" w:right="0" w:firstLine="640" w:firstLineChars="200"/>
        <w:textAlignment w:val="baseline"/>
        <w:rPr>
          <w:rFonts w:hint="default" w:ascii="Times New Roman" w:hAnsi="Times New Roman" w:cs="Times New Roman"/>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left="0" w:right="0" w:firstLine="0" w:firstLineChars="0"/>
        <w:jc w:val="center"/>
        <w:textAlignment w:val="baseline"/>
        <w:outlineLvl w:val="2"/>
        <w:rPr>
          <w:rFonts w:hint="default" w:ascii="Times New Roman" w:hAnsi="Times New Roman" w:eastAsia="黑体" w:cs="Times New Roman"/>
          <w:sz w:val="32"/>
          <w:szCs w:val="32"/>
          <w:highlight w:val="none"/>
        </w:rPr>
      </w:pPr>
      <w:r>
        <w:rPr>
          <w:rFonts w:hint="default" w:ascii="Times New Roman" w:hAnsi="Times New Roman" w:eastAsia="黑体" w:cs="Times New Roman"/>
          <w:spacing w:val="0"/>
          <w:sz w:val="32"/>
          <w:szCs w:val="32"/>
          <w:highlight w:val="none"/>
        </w:rPr>
        <w:t>第五章  责任追究</w:t>
      </w:r>
    </w:p>
    <w:p>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第二十五条  </w:t>
      </w:r>
      <w:r>
        <w:rPr>
          <w:rFonts w:hint="default" w:ascii="Times New Roman" w:hAnsi="Times New Roman" w:eastAsia="FangSong_GB2312" w:cs="Times New Roman"/>
          <w:spacing w:val="0"/>
          <w:sz w:val="32"/>
          <w:szCs w:val="32"/>
          <w:highlight w:val="none"/>
        </w:rPr>
        <w:t>对未按本实施办法规定进行节能审查</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或节能审查未获通过</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擅自开工建设但未投入生产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使用的未批先建项目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由国家级园区或区县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管理节能工作的部门组织进行节能监察</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责令建设单位停止建设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限期整改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提交详细的整改报告及佐证材料</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使项目符合国家及地方节能标准和政策要求</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FangSong_GB2312" w:cs="Times New Roman"/>
          <w:spacing w:val="0"/>
          <w:sz w:val="32"/>
          <w:szCs w:val="32"/>
          <w:highlight w:val="none"/>
        </w:rPr>
        <w:t>擅自投入生产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使用的未批先建项目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由国家级园区或区县</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市</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管理节能工作的部门组织进行节能监察</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责令建设单位停止生产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限期开展能源审计</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建设单位应将能源审计报告报送</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发展改革委审查并按要求进行整改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提交详细的整改报告及佐证材料</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使项目符合国家及地方节能标准和政策要求</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FangSong_GB2312" w:cs="Times New Roman"/>
          <w:spacing w:val="0"/>
          <w:sz w:val="32"/>
          <w:szCs w:val="32"/>
          <w:highlight w:val="none"/>
        </w:rPr>
        <w:t>整改报告包括以下内容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项目基本情况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建设规模</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开工时间及建设进度情况</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未进行节能审查即开工建设的原因说明</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项目责令停工停产整改通知书</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现场监察材料</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设备能效提升方案</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能源审计报告及审查意见</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如需</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整改完成情况及佐证材料等</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jc w:val="both"/>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FangSong_GB2312" w:cs="Times New Roman"/>
          <w:spacing w:val="0"/>
          <w:sz w:val="32"/>
          <w:szCs w:val="32"/>
          <w:highlight w:val="none"/>
        </w:rPr>
        <w:t>对经认定完成整改的项目不再出具节能审查意见</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由有</w:t>
      </w:r>
      <w:r>
        <w:rPr>
          <w:rFonts w:hint="default" w:ascii="Times New Roman" w:hAnsi="Times New Roman" w:eastAsia="FangSong_GB2312" w:cs="Times New Roman"/>
          <w:sz w:val="32"/>
          <w:szCs w:val="32"/>
          <w:highlight w:val="none"/>
        </w:rPr>
        <w:t>权限</w:t>
      </w:r>
      <w:r>
        <w:rPr>
          <w:rFonts w:hint="default" w:ascii="Times New Roman" w:hAnsi="Times New Roman" w:eastAsia="FangSong_GB2312" w:cs="Times New Roman"/>
          <w:spacing w:val="0"/>
          <w:sz w:val="32"/>
          <w:szCs w:val="32"/>
          <w:highlight w:val="none"/>
        </w:rPr>
        <w:t>的节能审查机关依据实际情况出具同意项目继续建设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生产或使用的证明</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不能整改或逾期不整改的生产性项目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按照《固定资产投资项目节能审查和碳排放评价办法》第二十四条有关规定处罚</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黑体" w:cs="Times New Roman"/>
          <w:spacing w:val="0"/>
          <w:sz w:val="32"/>
          <w:szCs w:val="32"/>
          <w:highlight w:val="none"/>
        </w:rPr>
        <w:t xml:space="preserve">第二十六条  </w:t>
      </w:r>
      <w:r>
        <w:rPr>
          <w:rFonts w:hint="default" w:ascii="Times New Roman" w:hAnsi="Times New Roman" w:eastAsia="FangSong_GB2312" w:cs="Times New Roman"/>
          <w:spacing w:val="0"/>
          <w:sz w:val="32"/>
          <w:szCs w:val="32"/>
          <w:highlight w:val="none"/>
        </w:rPr>
        <w:t>以拆分项目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提供虚假材料等不正当手段通过节能审查的固定资产投资项目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由节能审查机关撤销项目的节能审查意见</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项目已开工建设或投入生产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使用的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按照《固定资产投资项目节能审查和碳排放评价办法》第二十四条有关规定进行处罚</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第二十七条  </w:t>
      </w:r>
      <w:r>
        <w:rPr>
          <w:rFonts w:hint="default" w:ascii="Times New Roman" w:hAnsi="Times New Roman" w:eastAsia="FangSong_GB2312" w:cs="Times New Roman"/>
          <w:spacing w:val="0"/>
          <w:sz w:val="32"/>
          <w:szCs w:val="32"/>
          <w:highlight w:val="none"/>
        </w:rPr>
        <w:t>项目已投入生产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发生本实施办法第十九条规定的重大变动</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或存在单位产品综合能耗和碳排放</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年实际综合能源消费量或碳排放总量高于节能审查批复水平</w:t>
      </w:r>
      <w:r>
        <w:rPr>
          <w:rFonts w:hint="default" w:ascii="Times New Roman" w:hAnsi="Times New Roman" w:eastAsia="Times New Roman" w:cs="Times New Roman"/>
          <w:spacing w:val="0"/>
          <w:sz w:val="32"/>
          <w:szCs w:val="32"/>
          <w:highlight w:val="none"/>
        </w:rPr>
        <w:t>10%</w:t>
      </w:r>
      <w:r>
        <w:rPr>
          <w:rFonts w:hint="default" w:ascii="Times New Roman" w:hAnsi="Times New Roman" w:eastAsia="FangSong_GB2312" w:cs="Times New Roman"/>
          <w:spacing w:val="0"/>
          <w:sz w:val="32"/>
          <w:szCs w:val="32"/>
          <w:highlight w:val="none"/>
        </w:rPr>
        <w:t>等未落实节能审查意见要求的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由管理节能工作的部门责令建设单位限期整改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不能整改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整改不到位或逾期不整改的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由管理节能工作的部门按照《固定资产投资项目节能审查和碳排放评价办法》</w:t>
      </w:r>
      <w:r>
        <w:rPr>
          <w:rFonts w:hint="default" w:ascii="Times New Roman" w:hAnsi="Times New Roman" w:eastAsia="FangSong_GB2312" w:cs="Times New Roman"/>
          <w:sz w:val="32"/>
          <w:szCs w:val="32"/>
          <w:highlight w:val="none"/>
        </w:rPr>
        <w:t>第二十六条有关规定进行处罚</w:t>
      </w:r>
      <w:r>
        <w:rPr>
          <w:rFonts w:hint="default" w:ascii="Times New Roman" w:hAnsi="Times New Roman" w:eastAsia="FangSong_GB2312" w:cs="Times New Roman"/>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第二十八条  </w:t>
      </w:r>
      <w:r>
        <w:rPr>
          <w:rFonts w:hint="default" w:ascii="Times New Roman" w:hAnsi="Times New Roman" w:eastAsia="FangSong_GB2312" w:cs="Times New Roman"/>
          <w:spacing w:val="0"/>
          <w:sz w:val="32"/>
          <w:szCs w:val="32"/>
          <w:highlight w:val="none"/>
        </w:rPr>
        <w:t>未按本实施办法规定进行节能审查验收或验收不合格</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擅自投入生产</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使用的固定资产投资项目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以及以提供虚假材料等不正当手段通过节能审查验收的固定资产投资项目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由管理节能工作的部门责令建设单位限期整改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不能整改</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整改不到位或逾期不整改的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由管理节能工作的部门按照《固定资产投资项目节能审查和碳排放评价办法》第二十七条有关规定进行处罚</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第二十九条  </w:t>
      </w:r>
      <w:r>
        <w:rPr>
          <w:rFonts w:hint="default" w:ascii="Times New Roman" w:hAnsi="Times New Roman" w:eastAsia="FangSong_GB2312" w:cs="Times New Roman"/>
          <w:spacing w:val="0"/>
          <w:sz w:val="32"/>
          <w:szCs w:val="32"/>
          <w:highlight w:val="none"/>
        </w:rPr>
        <w:t>从事节能咨询</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评审等节能服务的机构提供节能审查虚假信息或咨询评估意见严重失实的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 xml:space="preserve"> 由管理节能工作的部门按照《固定资产投资项目节能审查和碳排放评价办法》第二</w:t>
      </w:r>
      <w:r>
        <w:rPr>
          <w:rFonts w:hint="default" w:ascii="Times New Roman" w:hAnsi="Times New Roman" w:eastAsia="FangSong_GB2312" w:cs="Times New Roman"/>
          <w:sz w:val="32"/>
          <w:szCs w:val="32"/>
          <w:highlight w:val="none"/>
        </w:rPr>
        <w:t>十八条有关规定进行处罚</w:t>
      </w:r>
      <w:r>
        <w:rPr>
          <w:rFonts w:hint="default" w:ascii="Times New Roman" w:hAnsi="Times New Roman" w:eastAsia="FangSong_GB2312" w:cs="Times New Roman"/>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pacing w:val="0"/>
          <w:sz w:val="32"/>
          <w:szCs w:val="32"/>
          <w:highlight w:val="none"/>
          <w:lang w:eastAsia="zh-CN"/>
        </w:rPr>
      </w:pPr>
      <w:r>
        <w:rPr>
          <w:rFonts w:hint="default" w:ascii="Times New Roman" w:hAnsi="Times New Roman" w:eastAsia="黑体" w:cs="Times New Roman"/>
          <w:spacing w:val="0"/>
          <w:sz w:val="32"/>
          <w:szCs w:val="32"/>
          <w:highlight w:val="none"/>
        </w:rPr>
        <w:t xml:space="preserve">第三十条  </w:t>
      </w:r>
      <w:r>
        <w:rPr>
          <w:rFonts w:hint="default" w:ascii="Times New Roman" w:hAnsi="Times New Roman" w:eastAsia="FangSong_GB2312" w:cs="Times New Roman"/>
          <w:spacing w:val="0"/>
          <w:sz w:val="32"/>
          <w:szCs w:val="32"/>
          <w:highlight w:val="none"/>
        </w:rPr>
        <w:t>管理节能工作的部门对建设单位</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节能服务机构等的违法违规信息进行归集和记录</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将违法违规行为及其处理信息纳入湖南省社会信用信息共享平台和投资项目在线审批监管平台</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在</w:t>
      </w:r>
      <w:r>
        <w:rPr>
          <w:rFonts w:hint="default" w:ascii="Times New Roman" w:hAnsi="Times New Roman" w:eastAsia="Times New Roman" w:cs="Times New Roman"/>
          <w:spacing w:val="0"/>
          <w:sz w:val="32"/>
          <w:szCs w:val="32"/>
          <w:highlight w:val="none"/>
        </w:rPr>
        <w:t>“</w:t>
      </w:r>
      <w:r>
        <w:rPr>
          <w:rFonts w:hint="default" w:ascii="Times New Roman" w:hAnsi="Times New Roman" w:eastAsia="FangSong_GB2312" w:cs="Times New Roman"/>
          <w:spacing w:val="0"/>
          <w:sz w:val="32"/>
          <w:szCs w:val="32"/>
          <w:highlight w:val="none"/>
        </w:rPr>
        <w:t>信用中国</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湖南</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Times New Roman" w:cs="Times New Roman"/>
          <w:spacing w:val="0"/>
          <w:sz w:val="32"/>
          <w:szCs w:val="32"/>
          <w:highlight w:val="none"/>
        </w:rPr>
        <w:t>”</w:t>
      </w:r>
      <w:r>
        <w:rPr>
          <w:rFonts w:hint="default" w:ascii="Times New Roman" w:hAnsi="Times New Roman" w:eastAsia="FangSong_GB2312" w:cs="Times New Roman"/>
          <w:spacing w:val="0"/>
          <w:sz w:val="32"/>
          <w:szCs w:val="32"/>
          <w:highlight w:val="none"/>
        </w:rPr>
        <w:t>网站向社会公开</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对列入严重失信主体名单的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依法依规实施联合惩戒措施</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第三十一条  </w:t>
      </w:r>
      <w:r>
        <w:rPr>
          <w:rFonts w:hint="default" w:ascii="Times New Roman" w:hAnsi="Times New Roman" w:eastAsia="FangSong_GB2312" w:cs="Times New Roman"/>
          <w:spacing w:val="0"/>
          <w:sz w:val="32"/>
          <w:szCs w:val="32"/>
          <w:highlight w:val="none"/>
        </w:rPr>
        <w:t>负责审批政府投资项目的工作人员</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对未进行节能审查或节能审查未获通过的项目</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违反本实施办法规定予以批准的</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依法给予处分</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第三十二条  </w:t>
      </w:r>
      <w:r>
        <w:rPr>
          <w:rFonts w:hint="default" w:ascii="Times New Roman" w:hAnsi="Times New Roman" w:eastAsia="FangSong_GB2312" w:cs="Times New Roman"/>
          <w:spacing w:val="0"/>
          <w:sz w:val="32"/>
          <w:szCs w:val="32"/>
          <w:highlight w:val="none"/>
        </w:rPr>
        <w:t>节能审查机关</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节能评审机构工作人员以及其他参与评审的有关人员在节能评审中存在违纪违法行为</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依法依规给予处分</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构成犯罪的依法追究刑事责任</w:t>
      </w:r>
      <w:r>
        <w:rPr>
          <w:rFonts w:hint="default" w:ascii="Times New Roman" w:hAnsi="Times New Roman" w:eastAsia="FangSong_GB2312" w:cs="Times New Roman"/>
          <w:spacing w:val="0"/>
          <w:sz w:val="32"/>
          <w:szCs w:val="32"/>
          <w:highlight w:val="none"/>
          <w:lang w:eastAsia="zh-CN"/>
        </w:rPr>
        <w:t>。</w:t>
      </w:r>
    </w:p>
    <w:p>
      <w:pPr>
        <w:pStyle w:val="4"/>
        <w:keepNext w:val="0"/>
        <w:keepLines w:val="0"/>
        <w:pageBreakBefore w:val="0"/>
        <w:widowControl w:val="0"/>
        <w:kinsoku/>
        <w:wordWrap/>
        <w:overflowPunct/>
        <w:topLinePunct w:val="0"/>
        <w:autoSpaceDE w:val="0"/>
        <w:autoSpaceDN w:val="0"/>
        <w:bidi w:val="0"/>
        <w:adjustRightInd w:val="0"/>
        <w:snapToGrid w:val="0"/>
        <w:spacing w:after="0" w:line="560" w:lineRule="exact"/>
        <w:ind w:left="0" w:right="0" w:firstLine="640" w:firstLineChars="200"/>
        <w:textAlignment w:val="baseline"/>
        <w:rPr>
          <w:rFonts w:hint="default" w:ascii="Times New Roman" w:hAnsi="Times New Roman" w:cs="Times New Roman"/>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0" w:firstLineChars="0"/>
        <w:jc w:val="center"/>
        <w:textAlignment w:val="baseline"/>
        <w:outlineLvl w:val="2"/>
        <w:rPr>
          <w:rFonts w:hint="default" w:ascii="Times New Roman" w:hAnsi="Times New Roman" w:eastAsia="黑体" w:cs="Times New Roman"/>
          <w:sz w:val="32"/>
          <w:szCs w:val="32"/>
          <w:highlight w:val="none"/>
        </w:rPr>
      </w:pPr>
      <w:r>
        <w:rPr>
          <w:rFonts w:hint="default" w:ascii="Times New Roman" w:hAnsi="Times New Roman" w:eastAsia="黑体" w:cs="Times New Roman"/>
          <w:spacing w:val="0"/>
          <w:sz w:val="32"/>
          <w:szCs w:val="32"/>
          <w:highlight w:val="none"/>
        </w:rPr>
        <w:t>第六章  附则</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第三十三条  </w:t>
      </w:r>
      <w:r>
        <w:rPr>
          <w:rFonts w:hint="default" w:ascii="Times New Roman" w:hAnsi="Times New Roman" w:eastAsia="FangSong_GB2312" w:cs="Times New Roman"/>
          <w:spacing w:val="0"/>
          <w:sz w:val="32"/>
          <w:szCs w:val="32"/>
          <w:highlight w:val="none"/>
        </w:rPr>
        <w:t>本实施办法由</w:t>
      </w:r>
      <w:r>
        <w:rPr>
          <w:rFonts w:hint="eastAsia" w:ascii="Times New Roman" w:hAnsi="Times New Roman" w:eastAsia="FangSong_GB2312" w:cs="Times New Roman"/>
          <w:spacing w:val="0"/>
          <w:sz w:val="32"/>
          <w:szCs w:val="32"/>
          <w:highlight w:val="none"/>
          <w:lang w:val="en-US" w:eastAsia="zh-CN"/>
        </w:rPr>
        <w:t>市</w:t>
      </w:r>
      <w:r>
        <w:rPr>
          <w:rFonts w:hint="default" w:ascii="Times New Roman" w:hAnsi="Times New Roman" w:eastAsia="FangSong_GB2312" w:cs="Times New Roman"/>
          <w:spacing w:val="0"/>
          <w:sz w:val="32"/>
          <w:szCs w:val="32"/>
          <w:highlight w:val="none"/>
        </w:rPr>
        <w:t>发展改革委负责解释</w:t>
      </w:r>
      <w:r>
        <w:rPr>
          <w:rFonts w:hint="default" w:ascii="Times New Roman" w:hAnsi="Times New Roman" w:eastAsia="FangSong_GB2312" w:cs="Times New Roman"/>
          <w:spacing w:val="0"/>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FangSong_GB2312" w:cs="Times New Roman"/>
          <w:sz w:val="32"/>
          <w:szCs w:val="32"/>
          <w:highlight w:val="none"/>
          <w:lang w:eastAsia="zh-CN"/>
        </w:rPr>
      </w:pPr>
      <w:r>
        <w:rPr>
          <w:rFonts w:hint="default" w:ascii="Times New Roman" w:hAnsi="Times New Roman" w:eastAsia="黑体" w:cs="Times New Roman"/>
          <w:spacing w:val="0"/>
          <w:sz w:val="32"/>
          <w:szCs w:val="32"/>
          <w:highlight w:val="none"/>
        </w:rPr>
        <w:t xml:space="preserve">第三十四条  </w:t>
      </w:r>
      <w:r>
        <w:rPr>
          <w:rFonts w:hint="default" w:ascii="Times New Roman" w:hAnsi="Times New Roman" w:eastAsia="FangSong_GB2312" w:cs="Times New Roman"/>
          <w:spacing w:val="0"/>
          <w:sz w:val="32"/>
          <w:szCs w:val="32"/>
          <w:highlight w:val="none"/>
        </w:rPr>
        <w:t>本实施办法自</w:t>
      </w:r>
      <w:r>
        <w:rPr>
          <w:rFonts w:hint="eastAsia" w:ascii="Times New Roman" w:hAnsi="Times New Roman" w:eastAsia="FangSong_GB2312" w:cs="Times New Roman"/>
          <w:spacing w:val="0"/>
          <w:sz w:val="32"/>
          <w:szCs w:val="32"/>
          <w:highlight w:val="none"/>
          <w:lang w:val="en-US" w:eastAsia="zh-CN"/>
        </w:rPr>
        <w:t>2026年2月2</w:t>
      </w:r>
      <w:r>
        <w:rPr>
          <w:rFonts w:hint="default" w:ascii="Times New Roman" w:hAnsi="Times New Roman" w:eastAsia="FangSong_GB2312" w:cs="Times New Roman"/>
          <w:spacing w:val="0"/>
          <w:sz w:val="32"/>
          <w:szCs w:val="32"/>
          <w:highlight w:val="none"/>
        </w:rPr>
        <w:t>日起施行</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有效期</w:t>
      </w:r>
      <w:r>
        <w:rPr>
          <w:rFonts w:hint="default" w:ascii="Times New Roman" w:hAnsi="Times New Roman" w:eastAsia="Times New Roman" w:cs="Times New Roman"/>
          <w:spacing w:val="0"/>
          <w:sz w:val="32"/>
          <w:szCs w:val="32"/>
          <w:highlight w:val="none"/>
        </w:rPr>
        <w:t>5</w:t>
      </w:r>
      <w:r>
        <w:rPr>
          <w:rFonts w:hint="default" w:ascii="Times New Roman" w:hAnsi="Times New Roman" w:eastAsia="FangSong_GB2312" w:cs="Times New Roman"/>
          <w:spacing w:val="0"/>
          <w:sz w:val="32"/>
          <w:szCs w:val="32"/>
          <w:highlight w:val="none"/>
        </w:rPr>
        <w:t>年</w:t>
      </w:r>
      <w:r>
        <w:rPr>
          <w:rFonts w:hint="default"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原《</w:t>
      </w:r>
      <w:r>
        <w:rPr>
          <w:rFonts w:hint="default" w:ascii="Times New Roman" w:hAnsi="Times New Roman" w:eastAsia="FangSong_GB2312" w:cs="Times New Roman"/>
          <w:spacing w:val="0"/>
          <w:sz w:val="32"/>
          <w:szCs w:val="32"/>
          <w:highlight w:val="none"/>
          <w:lang w:eastAsia="zh-CN"/>
        </w:rPr>
        <w:t>长沙市发展和改革委员会</w:t>
      </w:r>
      <w:r>
        <w:rPr>
          <w:rFonts w:hint="default" w:ascii="Times New Roman" w:hAnsi="Times New Roman" w:eastAsia="FangSong_GB2312" w:cs="Times New Roman"/>
          <w:spacing w:val="0"/>
          <w:sz w:val="32"/>
          <w:szCs w:val="32"/>
          <w:highlight w:val="none"/>
        </w:rPr>
        <w:t>关于印发〈</w:t>
      </w:r>
      <w:r>
        <w:rPr>
          <w:rFonts w:hint="default" w:ascii="Times New Roman" w:hAnsi="Times New Roman" w:eastAsia="FangSong_GB2312" w:cs="Times New Roman"/>
          <w:spacing w:val="0"/>
          <w:sz w:val="32"/>
          <w:szCs w:val="32"/>
          <w:highlight w:val="none"/>
          <w:lang w:eastAsia="zh-CN"/>
        </w:rPr>
        <w:t>长沙市固定资产投资项目节能审查实施办法</w:t>
      </w:r>
      <w:r>
        <w:rPr>
          <w:rFonts w:hint="default" w:ascii="Times New Roman" w:hAnsi="Times New Roman" w:eastAsia="FangSong_GB2312" w:cs="Times New Roman"/>
          <w:sz w:val="32"/>
          <w:szCs w:val="32"/>
          <w:highlight w:val="none"/>
        </w:rPr>
        <w:t>〉的通知》</w:t>
      </w:r>
      <w:r>
        <w:rPr>
          <w:rFonts w:hint="eastAsia" w:ascii="Times New Roman" w:hAnsi="Times New Roman" w:eastAsia="FangSong_GB2312" w:cs="Times New Roman"/>
          <w:sz w:val="32"/>
          <w:szCs w:val="32"/>
          <w:highlight w:val="none"/>
          <w:lang w:eastAsia="zh-CN"/>
        </w:rPr>
        <w:t>（</w:t>
      </w:r>
      <w:r>
        <w:rPr>
          <w:rFonts w:hint="default" w:ascii="Times New Roman" w:hAnsi="Times New Roman" w:eastAsia="FangSong_GB2312" w:cs="Times New Roman"/>
          <w:sz w:val="32"/>
          <w:szCs w:val="32"/>
          <w:highlight w:val="none"/>
          <w:lang w:val="en-US" w:eastAsia="zh-CN"/>
        </w:rPr>
        <w:t>长</w:t>
      </w:r>
      <w:r>
        <w:rPr>
          <w:rFonts w:hint="default" w:ascii="Times New Roman" w:hAnsi="Times New Roman" w:eastAsia="FangSong_GB2312" w:cs="Times New Roman"/>
          <w:sz w:val="32"/>
          <w:szCs w:val="32"/>
          <w:highlight w:val="none"/>
        </w:rPr>
        <w:t>发改</w:t>
      </w:r>
      <w:r>
        <w:rPr>
          <w:rFonts w:hint="default" w:ascii="Times New Roman" w:hAnsi="Times New Roman" w:eastAsia="FangSong_GB2312" w:cs="Times New Roman"/>
          <w:sz w:val="32"/>
          <w:szCs w:val="32"/>
          <w:highlight w:val="none"/>
          <w:lang w:val="en-US" w:eastAsia="zh-CN"/>
        </w:rPr>
        <w:t>资环</w:t>
      </w:r>
      <w:r>
        <w:rPr>
          <w:rFonts w:hint="default" w:ascii="Times New Roman" w:hAnsi="Times New Roman" w:eastAsia="FangSong_GB2312" w:cs="Times New Roman"/>
          <w:sz w:val="32"/>
          <w:szCs w:val="32"/>
          <w:highlight w:val="none"/>
        </w:rPr>
        <w:t>〔</w:t>
      </w:r>
      <w:r>
        <w:rPr>
          <w:rFonts w:hint="default" w:ascii="Times New Roman" w:hAnsi="Times New Roman" w:eastAsia="Times New Roman" w:cs="Times New Roman"/>
          <w:sz w:val="32"/>
          <w:szCs w:val="32"/>
          <w:highlight w:val="none"/>
        </w:rPr>
        <w:t>202</w:t>
      </w:r>
      <w:r>
        <w:rPr>
          <w:rFonts w:hint="default" w:ascii="Times New Roman" w:hAnsi="Times New Roman" w:eastAsia="Times New Roman" w:cs="Times New Roman"/>
          <w:spacing w:val="0"/>
          <w:sz w:val="32"/>
          <w:szCs w:val="32"/>
          <w:highlight w:val="none"/>
        </w:rPr>
        <w:t>3</w:t>
      </w:r>
      <w:r>
        <w:rPr>
          <w:rFonts w:hint="default" w:ascii="Times New Roman" w:hAnsi="Times New Roman" w:eastAsia="FangSong_GB2312" w:cs="Times New Roman"/>
          <w:spacing w:val="0"/>
          <w:sz w:val="32"/>
          <w:szCs w:val="32"/>
          <w:highlight w:val="none"/>
        </w:rPr>
        <w:t>〕</w:t>
      </w:r>
      <w:r>
        <w:rPr>
          <w:rFonts w:hint="default" w:ascii="Times New Roman" w:hAnsi="Times New Roman" w:eastAsia="宋体" w:cs="Times New Roman"/>
          <w:spacing w:val="0"/>
          <w:sz w:val="32"/>
          <w:szCs w:val="32"/>
          <w:highlight w:val="none"/>
          <w:lang w:val="en-US" w:eastAsia="zh-CN"/>
        </w:rPr>
        <w:t>120</w:t>
      </w:r>
      <w:r>
        <w:rPr>
          <w:rFonts w:hint="default" w:ascii="Times New Roman" w:hAnsi="Times New Roman" w:eastAsia="FangSong_GB2312" w:cs="Times New Roman"/>
          <w:spacing w:val="0"/>
          <w:sz w:val="32"/>
          <w:szCs w:val="32"/>
          <w:highlight w:val="none"/>
        </w:rPr>
        <w:t>号</w:t>
      </w:r>
      <w:r>
        <w:rPr>
          <w:rFonts w:hint="eastAsia" w:ascii="Times New Roman" w:hAnsi="Times New Roman" w:eastAsia="FangSong_GB2312" w:cs="Times New Roman"/>
          <w:spacing w:val="0"/>
          <w:sz w:val="32"/>
          <w:szCs w:val="32"/>
          <w:highlight w:val="none"/>
          <w:lang w:eastAsia="zh-CN"/>
        </w:rPr>
        <w:t>）</w:t>
      </w:r>
      <w:r>
        <w:rPr>
          <w:rFonts w:hint="default" w:ascii="Times New Roman" w:hAnsi="Times New Roman" w:eastAsia="FangSong_GB2312" w:cs="Times New Roman"/>
          <w:spacing w:val="0"/>
          <w:sz w:val="32"/>
          <w:szCs w:val="32"/>
          <w:highlight w:val="none"/>
        </w:rPr>
        <w:t>同时废止</w:t>
      </w:r>
      <w:r>
        <w:rPr>
          <w:rFonts w:hint="default" w:ascii="Times New Roman" w:hAnsi="Times New Roman" w:eastAsia="FangSong_GB2312" w:cs="Times New Roman"/>
          <w:spacing w:val="0"/>
          <w:sz w:val="32"/>
          <w:szCs w:val="32"/>
          <w:highlight w:val="none"/>
          <w:lang w:eastAsia="zh-CN"/>
        </w:rPr>
        <w:t>。</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lang w:val="en-US" w:eastAsia="zh-CN"/>
        </w:rPr>
      </w:pPr>
    </w:p>
    <w:tbl>
      <w:tblPr>
        <w:tblStyle w:val="9"/>
        <w:tblpPr w:leftFromText="181" w:rightFromText="181" w:horzAnchor="page" w:tblpX="1571" w:tblpYSpec="bottom"/>
        <w:tblOverlap w:val="never"/>
        <w:tblW w:w="0" w:type="auto"/>
        <w:tblInd w:w="108" w:type="dxa"/>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4408"/>
        <w:gridCol w:w="4436"/>
      </w:tblGrid>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567" w:hRule="atLeast"/>
        </w:trPr>
        <w:tc>
          <w:tcPr>
            <w:tcW w:w="4408" w:type="dxa"/>
            <w:tcBorders>
              <w:top w:val="single" w:color="auto" w:sz="8" w:space="0"/>
              <w:bottom w:val="single" w:color="auto" w:sz="8"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400" w:lineRule="exact"/>
              <w:ind w:left="0" w:leftChars="0" w:right="0" w:rightChars="0"/>
              <w:jc w:val="left"/>
              <w:textAlignment w:val="auto"/>
              <w:outlineLvl w:val="9"/>
              <w:rPr>
                <w:rFonts w:hint="default" w:ascii="Times New Roman" w:hAnsi="Times New Roman" w:eastAsia="仿宋_GB2312" w:cs="Times New Roman"/>
                <w:spacing w:val="0"/>
                <w:sz w:val="28"/>
                <w:szCs w:val="28"/>
              </w:rPr>
            </w:pPr>
            <w:r>
              <w:rPr>
                <w:rFonts w:hint="default" w:ascii="Times New Roman" w:hAnsi="Times New Roman" w:eastAsia="仿宋_GB2312" w:cs="Times New Roman"/>
                <w:spacing w:val="0"/>
                <w:w w:val="100"/>
                <w:sz w:val="28"/>
                <w:szCs w:val="28"/>
              </w:rPr>
              <w:t xml:space="preserve">长沙市发展和改革委员会办公室 </w:t>
            </w:r>
          </w:p>
        </w:tc>
        <w:tc>
          <w:tcPr>
            <w:tcW w:w="4436" w:type="dxa"/>
            <w:tcBorders>
              <w:top w:val="single" w:color="auto" w:sz="8" w:space="0"/>
              <w:bottom w:val="single" w:color="auto" w:sz="8"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400" w:lineRule="exact"/>
              <w:ind w:left="0" w:leftChars="0" w:right="0" w:rightChars="0"/>
              <w:jc w:val="right"/>
              <w:textAlignment w:val="auto"/>
              <w:outlineLvl w:val="9"/>
              <w:rPr>
                <w:rFonts w:hint="default" w:ascii="Times New Roman" w:hAnsi="Times New Roman" w:eastAsia="仿宋_GB2312" w:cs="Times New Roman"/>
                <w:spacing w:val="0"/>
                <w:sz w:val="28"/>
                <w:szCs w:val="28"/>
              </w:rPr>
            </w:pPr>
            <mc:AlternateContent>
              <mc:Choice Requires="wpsCustomData">
                <wpsCustomData:docfieldStart id="0" docfieldname="印发日期" hidden="0" print="1" readonly="0" index="9"/>
              </mc:Choice>
            </mc:AlternateContent>
            <w:r>
              <w:rPr>
                <w:rFonts w:hint="default" w:ascii="Times New Roman" w:hAnsi="Times New Roman" w:eastAsia="仿宋_GB2312" w:cs="Times New Roman"/>
                <w:spacing w:val="0"/>
                <w:sz w:val="28"/>
                <w:szCs w:val="28"/>
                <w:lang w:val="en-US" w:eastAsia="zh-CN"/>
              </w:rPr>
              <w:t>2026年</w:t>
            </w:r>
            <w:r>
              <w:rPr>
                <w:rFonts w:hint="eastAsia" w:ascii="Times New Roman" w:hAnsi="Times New Roman" w:eastAsia="仿宋_GB2312" w:cs="Times New Roman"/>
                <w:spacing w:val="0"/>
                <w:sz w:val="28"/>
                <w:szCs w:val="28"/>
                <w:lang w:val="en-US" w:eastAsia="zh-CN"/>
              </w:rPr>
              <w:t>2</w:t>
            </w:r>
            <w:r>
              <w:rPr>
                <w:rFonts w:hint="default" w:ascii="Times New Roman" w:hAnsi="Times New Roman" w:eastAsia="仿宋_GB2312" w:cs="Times New Roman"/>
                <w:spacing w:val="0"/>
                <w:sz w:val="28"/>
                <w:szCs w:val="28"/>
                <w:lang w:val="en-US" w:eastAsia="zh-CN"/>
              </w:rPr>
              <w:t>月2日</w:t>
            </w:r>
            <mc:AlternateContent>
              <mc:Choice Requires="wpsCustomData">
                <wpsCustomData:docfieldEnd id="0"/>
              </mc:Choice>
            </mc:AlternateContent>
            <w:r>
              <w:rPr>
                <w:rFonts w:hint="default" w:ascii="Times New Roman" w:hAnsi="Times New Roman" w:eastAsia="仿宋_GB2312" w:cs="Times New Roman"/>
                <w:spacing w:val="0"/>
                <w:sz w:val="28"/>
                <w:szCs w:val="28"/>
              </w:rPr>
              <w:t>印发</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96" w:hRule="exact"/>
        </w:trPr>
        <w:tc>
          <w:tcPr>
            <w:tcW w:w="4408" w:type="dxa"/>
            <w:tcBorders>
              <w:top w:val="single" w:color="auto" w:sz="8" w:space="0"/>
              <w:bottom w:val="nil"/>
            </w:tcBorders>
            <w:noWrap w:val="0"/>
            <w:vAlign w:val="top"/>
          </w:tcPr>
          <w:p>
            <w:pPr>
              <w:keepNext w:val="0"/>
              <w:keepLines w:val="0"/>
              <w:pageBreakBefore w:val="0"/>
              <w:widowControl w:val="0"/>
              <w:kinsoku/>
              <w:wordWrap/>
              <w:overflowPunct/>
              <w:topLinePunct w:val="0"/>
              <w:autoSpaceDE/>
              <w:autoSpaceDN w:val="0"/>
              <w:bidi w:val="0"/>
              <w:adjustRightInd/>
              <w:snapToGrid/>
              <w:spacing w:line="240" w:lineRule="auto"/>
              <w:ind w:left="0" w:leftChars="0" w:right="0" w:rightChars="0"/>
              <w:jc w:val="left"/>
              <w:textAlignment w:val="auto"/>
              <w:outlineLvl w:val="9"/>
              <w:rPr>
                <w:rFonts w:hint="default" w:ascii="Times New Roman" w:hAnsi="Times New Roman" w:eastAsia="仿宋_GB2312" w:cs="Times New Roman"/>
                <w:spacing w:val="0"/>
                <w:sz w:val="28"/>
                <w:szCs w:val="28"/>
              </w:rPr>
            </w:pPr>
          </w:p>
        </w:tc>
        <w:tc>
          <w:tcPr>
            <w:tcW w:w="4436" w:type="dxa"/>
            <w:tcBorders>
              <w:top w:val="single" w:color="auto" w:sz="8" w:space="0"/>
              <w:bottom w:val="nil"/>
            </w:tcBorders>
            <w:noWrap w:val="0"/>
            <w:vAlign w:val="top"/>
          </w:tcPr>
          <w:p>
            <w:pPr>
              <w:keepNext w:val="0"/>
              <w:keepLines w:val="0"/>
              <w:pageBreakBefore w:val="0"/>
              <w:widowControl w:val="0"/>
              <w:kinsoku/>
              <w:wordWrap/>
              <w:overflowPunct/>
              <w:topLinePunct w:val="0"/>
              <w:autoSpaceDE/>
              <w:autoSpaceDN w:val="0"/>
              <w:bidi w:val="0"/>
              <w:adjustRightInd/>
              <w:snapToGrid/>
              <w:spacing w:line="240" w:lineRule="auto"/>
              <w:ind w:left="0" w:leftChars="0" w:right="0" w:rightChars="0"/>
              <w:jc w:val="right"/>
              <w:textAlignment w:val="auto"/>
              <w:outlineLvl w:val="9"/>
              <w:rPr>
                <w:rFonts w:hint="default" w:ascii="Times New Roman" w:hAnsi="Times New Roman" w:eastAsia="仿宋_GB2312" w:cs="Times New Roman"/>
                <w:spacing w:val="0"/>
                <w:sz w:val="28"/>
                <w:szCs w:val="28"/>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lang w:val="en-US" w:eastAsia="zh-CN"/>
        </w:rPr>
      </w:pPr>
    </w:p>
    <w:sectPr>
      <w:headerReference r:id="rId3" w:type="default"/>
      <w:footerReference r:id="rId4" w:type="default"/>
      <w:pgSz w:w="11906" w:h="16838"/>
      <w:pgMar w:top="1967" w:right="1587" w:bottom="1587" w:left="1587" w:header="851" w:footer="879"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script"/>
    <w:pitch w:val="default"/>
    <w:sig w:usb0="00000001" w:usb1="08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FangSong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0vsRLdAQAAvwMAAA4AAABkcnMv&#10;ZTJvRG9jLnhtbK1TwY7TMBC9I/EPlu80aQ+oipqugGoREgKkhQ9wHaexZHsse9qkfAD8AScu3Pmu&#10;fgdjJ+kuy2UPXJLxzPjNvDfjzc1gDTupEDW4mi8XJWfKSWi0O9T8y+fbF2vOIgrXCANO1fysIr/Z&#10;Pn+26X2lVtCBaVRgBOJi1fuad4i+KoooO2VFXIBXjoItBCuQjuFQNEH0hG5NsSrLl0UPofEBpIqR&#10;vLsxyCfE8BRAaFst1Q7k0SqHI2pQRiBRip32kW9zt22rJH5s26iQmZoTU8xfKkL2Pn2L7UZUhyB8&#10;p+XUgnhKC484WaEdFb1C7QQKdgz6HyirZYAILS4k2GIkkhUhFsvykTZ3nfAqcyGpo7+KHv8frPxw&#10;+hSYbmgTlpw5YWnilx/fLz9/X359Y8ukT+9jRWl3nhJxeA0D5c7+SM5Ee2iDTX8ixChO6p6v6qoB&#10;mUyX1qv1uqSQpNh8IPzi/roPEd8qsCwZNQ80vqyqOL2POKbOKamag1ttTB6hcX85CDN5itT72GOy&#10;cNgPE6E9NGfiQ++A6nQQvnLW0xbU3NHSc2beORI5LcxshNnYz4Zwki7WHDkbzTc4LtbRB33o8qql&#10;pqJ/dUTqNBNIbYy1p+5orlmCaQfT4jw856z7d7f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M6p&#10;ebnPAAAABQEAAA8AAAAAAAAAAQAgAAAAOAAAAGRycy9kb3ducmV2LnhtbFBLAQIUABQAAAAIAIdO&#10;4kAtL7ES3QEAAL8DAAAOAAAAAAAAAAEAIAAAADQBAABkcnMvZTJvRG9jLnhtbFBLBQYAAAAABgAG&#10;AFkBAACDBQAAAAA=&#10;">
              <v:fill on="f" focussize="0,0"/>
              <v:stroke on="f"/>
              <v:imagedata o:title=""/>
              <o:lock v:ext="edit" aspectratio="f"/>
              <v:textbox inset="0mm,0mm,0mm,0mm" style="mso-fit-shape-to-text:t;">
                <w:txbxContent>
                  <w:p>
                    <w:pPr>
                      <w:pStyle w:val="6"/>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F7311A"/>
    <w:rsid w:val="3BF76B91"/>
    <w:rsid w:val="3E7D7B5A"/>
    <w:rsid w:val="3EAB0813"/>
    <w:rsid w:val="3FB31CFD"/>
    <w:rsid w:val="3FE26861"/>
    <w:rsid w:val="3FFB8739"/>
    <w:rsid w:val="4ECB2794"/>
    <w:rsid w:val="515FC37B"/>
    <w:rsid w:val="5756EDB4"/>
    <w:rsid w:val="576CEF5C"/>
    <w:rsid w:val="5FE75646"/>
    <w:rsid w:val="63B79D8E"/>
    <w:rsid w:val="6DBD00C9"/>
    <w:rsid w:val="6DF75906"/>
    <w:rsid w:val="71F9AABE"/>
    <w:rsid w:val="739FBBBD"/>
    <w:rsid w:val="73FEEC26"/>
    <w:rsid w:val="74E740F2"/>
    <w:rsid w:val="77BF9CA1"/>
    <w:rsid w:val="7CA9431D"/>
    <w:rsid w:val="7D7BCBD2"/>
    <w:rsid w:val="7DFDBDAA"/>
    <w:rsid w:val="7EAFB1CB"/>
    <w:rsid w:val="7F76DAC6"/>
    <w:rsid w:val="9F4E2AB5"/>
    <w:rsid w:val="9FDD84E5"/>
    <w:rsid w:val="A12FFDED"/>
    <w:rsid w:val="BEBF4CDD"/>
    <w:rsid w:val="BEFFAE90"/>
    <w:rsid w:val="BFB7E833"/>
    <w:rsid w:val="CFEF1EE5"/>
    <w:rsid w:val="D7EFAD9B"/>
    <w:rsid w:val="D9FAC380"/>
    <w:rsid w:val="DEBE2482"/>
    <w:rsid w:val="DF3FE165"/>
    <w:rsid w:val="DF5F919D"/>
    <w:rsid w:val="DFFB71A7"/>
    <w:rsid w:val="E6FBF455"/>
    <w:rsid w:val="E7DDA73C"/>
    <w:rsid w:val="E9DB2836"/>
    <w:rsid w:val="EBDF6B6F"/>
    <w:rsid w:val="ED2FA105"/>
    <w:rsid w:val="EE68A84C"/>
    <w:rsid w:val="EF7F4ED3"/>
    <w:rsid w:val="EFE536C1"/>
    <w:rsid w:val="F0EC2721"/>
    <w:rsid w:val="F1FBA4CA"/>
    <w:rsid w:val="F66E9A63"/>
    <w:rsid w:val="F6BC7502"/>
    <w:rsid w:val="F7778564"/>
    <w:rsid w:val="F7FEABD8"/>
    <w:rsid w:val="F9BD66D2"/>
    <w:rsid w:val="FAEDD8A9"/>
    <w:rsid w:val="FE2F296B"/>
    <w:rsid w:val="FEF6030D"/>
    <w:rsid w:val="FEFF3F74"/>
    <w:rsid w:val="FF93850B"/>
    <w:rsid w:val="FFEFCD9B"/>
    <w:rsid w:val="FFFF7E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index 6"/>
    <w:next w:val="1"/>
    <w:qFormat/>
    <w:uiPriority w:val="0"/>
    <w:pPr>
      <w:widowControl w:val="0"/>
      <w:ind w:left="2100"/>
      <w:jc w:val="both"/>
    </w:pPr>
    <w:rPr>
      <w:rFonts w:ascii="Calibri" w:hAnsi="Calibri" w:eastAsia="宋体" w:cs="Times New Roman"/>
      <w:kern w:val="2"/>
      <w:sz w:val="21"/>
      <w:szCs w:val="22"/>
      <w:lang w:val="en-US" w:eastAsia="zh-CN" w:bidi="ar-SA"/>
    </w:rPr>
  </w:style>
  <w:style w:type="paragraph" w:styleId="4">
    <w:name w:val="Body Text"/>
    <w:basedOn w:val="1"/>
    <w:qFormat/>
    <w:uiPriority w:val="0"/>
    <w:pPr>
      <w:spacing w:after="120"/>
    </w:pPr>
    <w:rPr>
      <w:rFonts w:ascii="Calibri" w:hAnsi="Calibri" w:eastAsia="宋体" w:cs="Times New Roman"/>
    </w:rPr>
  </w:style>
  <w:style w:type="paragraph" w:styleId="5">
    <w:name w:val="Body Text Indent"/>
    <w:basedOn w:val="1"/>
    <w:next w:val="1"/>
    <w:qFormat/>
    <w:uiPriority w:val="0"/>
    <w:pPr>
      <w:ind w:firstLine="640" w:firstLineChars="200"/>
    </w:pPr>
    <w:rPr>
      <w:rFonts w:ascii="仿宋_GB2312" w:hAnsi="Times New Roman" w:eastAsia="Times New Roman"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5"/>
    <w:next w:val="3"/>
    <w:qFormat/>
    <w:uiPriority w:val="0"/>
    <w:pPr>
      <w:spacing w:line="660" w:lineRule="exact"/>
      <w:ind w:firstLine="420"/>
    </w:pPr>
    <w:rPr>
      <w:rFonts w:ascii="Times New Roman" w:hAnsi="Times New Roman" w:eastAsia="仿宋_GB2312" w:cs="仿宋_GB2312"/>
      <w:sz w:val="32"/>
      <w:szCs w:val="32"/>
    </w:rPr>
  </w:style>
  <w:style w:type="paragraph" w:customStyle="1" w:styleId="11">
    <w:name w:val="样式 文字 + 首行缩进:  2 字符3"/>
    <w:basedOn w:val="1"/>
    <w:qFormat/>
    <w:uiPriority w:val="0"/>
    <w:pPr>
      <w:spacing w:line="360" w:lineRule="auto"/>
      <w:jc w:val="left"/>
    </w:pPr>
    <w:rPr>
      <w:sz w:val="28"/>
      <w:szCs w:val="28"/>
    </w:rPr>
  </w:style>
  <w:style w:type="paragraph" w:customStyle="1" w:styleId="12">
    <w:name w:val="No Spacing"/>
    <w:basedOn w:val="1"/>
    <w:qFormat/>
    <w:uiPriority w:val="0"/>
    <w:pPr>
      <w:spacing w:line="240" w:lineRule="auto"/>
    </w:pPr>
    <w:rPr>
      <w:rFonts w:ascii="Calibri" w:hAnsi="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2014-11-02T04:08:00Z</dcterms:created>
  <dc:creator>Administrator</dc:creator>
  <cp:lastModifiedBy>kylin</cp:lastModifiedBy>
  <cp:lastPrinted>2025-04-22T00:24:00Z</cp:lastPrinted>
  <dcterms:modified xsi:type="dcterms:W3CDTF">2026-02-02T11:13:08Z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85659A83220B3D499B12806974B6E0EC</vt:lpwstr>
  </property>
</Properties>
</file>