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val="0"/>
        <w:spacing w:before="781" w:beforeLines="250" w:after="469" w:afterLines="150" w:line="400" w:lineRule="exact"/>
        <w:ind w:left="0" w:leftChars="0" w:right="0" w:rightChars="0" w:firstLine="0" w:firstLineChars="0"/>
        <w:jc w:val="center"/>
        <w:textAlignment w:val="auto"/>
        <w:outlineLvl w:val="9"/>
        <w:rPr>
          <w:rFonts w:hint="eastAsia" w:ascii="黑体" w:hAnsi="黑体" w:eastAsia="黑体" w:cs="黑体"/>
          <w:bCs/>
          <w:color w:val="000000" w:themeColor="text1"/>
          <w:spacing w:val="0"/>
          <w:sz w:val="32"/>
          <w:highlight w:val="none"/>
          <w:lang w:val="en-US" w:eastAsia="zh-CN"/>
          <w14:textFill>
            <w14:solidFill>
              <w14:schemeClr w14:val="tx1"/>
            </w14:solidFill>
          </w14:textFill>
        </w:rPr>
      </w:pPr>
      <w:r>
        <w:rPr>
          <w:sz w:val="44"/>
        </w:rPr>
        <mc:AlternateContent>
          <mc:Choice Requires="wps">
            <w:drawing>
              <wp:anchor distT="0" distB="0" distL="114300" distR="114300" simplePos="0" relativeHeight="251661312" behindDoc="0" locked="0" layoutInCell="1" allowOverlap="1">
                <wp:simplePos x="0" y="0"/>
                <wp:positionH relativeFrom="column">
                  <wp:posOffset>-208915</wp:posOffset>
                </wp:positionH>
                <wp:positionV relativeFrom="paragraph">
                  <wp:posOffset>-528955</wp:posOffset>
                </wp:positionV>
                <wp:extent cx="1886585" cy="485775"/>
                <wp:effectExtent l="0" t="0" r="18415" b="9525"/>
                <wp:wrapNone/>
                <wp:docPr id="3" name="文本框 3"/>
                <wp:cNvGraphicFramePr/>
                <a:graphic xmlns:a="http://schemas.openxmlformats.org/drawingml/2006/main">
                  <a:graphicData uri="http://schemas.microsoft.com/office/word/2010/wordprocessingShape">
                    <wps:wsp>
                      <wps:cNvSpPr txBox="true"/>
                      <wps:spPr>
                        <a:xfrm>
                          <a:off x="1818005" y="277495"/>
                          <a:ext cx="1886585" cy="4857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widowControl/>
                              <w:suppressLineNumbers w:val="0"/>
                              <w:shd w:val="clear" w:fill="FFFFFF"/>
                              <w:wordWrap/>
                              <w:spacing w:before="0" w:beforeAutospacing="0" w:after="0" w:afterAutospacing="0"/>
                              <w:ind w:left="0" w:right="0" w:firstLine="0"/>
                              <w:jc w:val="left"/>
                              <w:rPr>
                                <w:rFonts w:hint="default" w:ascii="Times New Roman" w:hAnsi="Times New Roman" w:eastAsia="仿宋_GB2312" w:cs="Times New Roman"/>
                                <w:b w:val="0"/>
                                <w:bCs w:val="0"/>
                                <w:i w:val="0"/>
                                <w:iCs w:val="0"/>
                                <w:caps w:val="0"/>
                                <w:color w:val="000000"/>
                                <w:spacing w:val="0"/>
                                <w:sz w:val="32"/>
                                <w:szCs w:val="32"/>
                              </w:rPr>
                            </w:pPr>
                            <w:r>
                              <w:rPr>
                                <w:rFonts w:hint="default" w:ascii="Times New Roman" w:hAnsi="Times New Roman" w:eastAsia="仿宋_GB2312" w:cs="Times New Roman"/>
                                <w:b w:val="0"/>
                                <w:bCs w:val="0"/>
                                <w:i w:val="0"/>
                                <w:iCs w:val="0"/>
                                <w:caps w:val="0"/>
                                <w:color w:val="000000"/>
                                <w:spacing w:val="0"/>
                                <w:sz w:val="32"/>
                                <w:szCs w:val="32"/>
                                <w:shd w:val="clear" w:fill="FFFFFF"/>
                              </w:rPr>
                              <w:t>CSCR-2026-48001</w:t>
                            </w:r>
                          </w:p>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16.45pt;margin-top:-41.65pt;height:38.25pt;width:148.55pt;z-index:251661312;mso-width-relative:page;mso-height-relative:page;" fillcolor="#FFFFFF [3201]" filled="t" stroked="f" coordsize="21600,21600" o:gfxdata="UEsFBgAAAAAAAAAAAAAAAAAAAAAAAFBLAwQKAAAAAACHTuJAAAAAAAAAAAAAAAAABAAAAGRycy9Q&#10;SwMEFAAAAAgAh07iQL7wzbTVAAAACgEAAA8AAABkcnMvZG93bnJldi54bWxNj8tOwzAQRfdI/IM1&#10;SOxa51FFaYjTBRJbJNrStRsPcYQ9jmL3+fUMK9jN4+jOmXZz9U6ccY5jIAX5MgOB1Acz0qBgv3tb&#10;1CBi0mS0C4QKbhhh0z0+tLox4UIfeN6mQXAIxUYrsClNjZSxt+h1XIYJiXdfYfY6cTsP0sz6wuHe&#10;ySLLKun1SHzB6glfLfbf25NXcBj8/fCZT7M13q3o/X7b7cOo1PNTnr2ASHhNfzD86rM6dOx0DCcy&#10;UTgFi7JYM8pFXZYgmCiqVQHiyJOqBtm18v8L3Q9QSwMEFAAAAAgAh07iQAplAgNGAgAAXgQAAA4A&#10;AABkcnMvZTJvRG9jLnhtbK1UzY7TMBC+I/EOlu806X+2aroqXRUhrdiVCuLsOnYbyfEY221SHgDe&#10;YE9cuPNcfQ7GbtotPydEDs6M58v8fDOT6W1TKbIX1pWgc9rtpJQIzaEo9SanH94vX2WUOM90wRRo&#10;kdODcPR29vLFtDYT0YMtqEJYgk60m9Qmp1vvzSRJHN+KirkOGKHRKMFWzKNqN0lhWY3eK5X00nSU&#10;1GALY4EL5/D27mSks+hfSsH9g5ROeKJyirn5eNp4rsOZzKZssrHMbEvepsH+IYuKlRqDXlzdMc/I&#10;zpZ/uKpKbsGB9B0OVQJSllzEGrCabvpbNastMyLWguQ4c6HJ/T+3/N3+0ZKyyGmfEs0qbNHx6evx&#10;24/j9y+kH+ipjZsgamUQ55vX0OTU2504mxzeh8IbaavwxpIIQrpZN0vTISWHnPbG48HN8ES1aDzh&#10;0Z6NhhnaOQIG2XA8joDk2ZGxzr8RUJEg5NRiKyPDbH/vPOaF0DMkxHWgymJZKhUVu1kvlCV7hm1f&#10;xieEx09+gSlN6pyO+sM0etYQvj/hlEZ4KP1UX5B8s25aPtZQHJAOC6d5coYvS8zynjn/yCwOEI4a&#10;LoV/wEMqwCDQSpRswX7+233AY1/RSkmNA5lT92nHrKBEvdXY8ZvuYBAmOCqD4biHir22rK8telct&#10;AIvv4voZHsWA9+osSgvVR9ydeYgqmXIYiGmO8bG/Z3HhUWuNuINczOcXHefXMH+vV4a3ExGY1zDf&#10;eZBl7FBg7URVSyYOcexCu3BhS671iHr+Lcx+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BYAAABkcnMvUEsBAhQAFAAAAAgAh07iQL7wzbTV&#10;AAAACgEAAA8AAAAAAAAAAQAgAAAAOAAAAGRycy9kb3ducmV2LnhtbFBLAQIUABQAAAAIAIdO4kAK&#10;ZQIDRgIAAF4EAAAOAAAAAAAAAAEAIAAAADoBAABkcnMvZTJvRG9jLnhtbFBLBQYAAAAABgAGAFkB&#10;AADyBQAAAAA=&#10;">
                <v:fill on="t" focussize="0,0"/>
                <v:stroke on="f" weight="0.5pt"/>
                <v:imagedata o:title=""/>
                <o:lock v:ext="edit" aspectratio="f"/>
                <v:textbox>
                  <w:txbxContent>
                    <w:p>
                      <w:pPr>
                        <w:pStyle w:val="6"/>
                        <w:keepNext w:val="0"/>
                        <w:keepLines w:val="0"/>
                        <w:widowControl/>
                        <w:suppressLineNumbers w:val="0"/>
                        <w:shd w:val="clear" w:fill="FFFFFF"/>
                        <w:wordWrap/>
                        <w:spacing w:before="0" w:beforeAutospacing="0" w:after="0" w:afterAutospacing="0"/>
                        <w:ind w:left="0" w:right="0" w:firstLine="0"/>
                        <w:jc w:val="left"/>
                        <w:rPr>
                          <w:rFonts w:hint="default" w:ascii="Times New Roman" w:hAnsi="Times New Roman" w:eastAsia="仿宋_GB2312" w:cs="Times New Roman"/>
                          <w:b w:val="0"/>
                          <w:bCs w:val="0"/>
                          <w:i w:val="0"/>
                          <w:iCs w:val="0"/>
                          <w:caps w:val="0"/>
                          <w:color w:val="000000"/>
                          <w:spacing w:val="0"/>
                          <w:sz w:val="32"/>
                          <w:szCs w:val="32"/>
                        </w:rPr>
                      </w:pPr>
                      <w:r>
                        <w:rPr>
                          <w:rFonts w:hint="default" w:ascii="Times New Roman" w:hAnsi="Times New Roman" w:eastAsia="仿宋_GB2312" w:cs="Times New Roman"/>
                          <w:b w:val="0"/>
                          <w:bCs w:val="0"/>
                          <w:i w:val="0"/>
                          <w:iCs w:val="0"/>
                          <w:caps w:val="0"/>
                          <w:color w:val="000000"/>
                          <w:spacing w:val="0"/>
                          <w:sz w:val="32"/>
                          <w:szCs w:val="32"/>
                          <w:shd w:val="clear" w:fill="FFFFFF"/>
                        </w:rPr>
                        <w:t>CSCR-2026-48001</w:t>
                      </w:r>
                    </w:p>
                    <w:p/>
                  </w:txbxContent>
                </v:textbox>
              </v:shape>
            </w:pict>
          </mc:Fallback>
        </mc:AlternateContent>
      </w:r>
      <w:bookmarkStart w:id="0" w:name="_GoBack"/>
      <w:bookmarkEnd w:id="0"/>
      <w:r>
        <w:rPr>
          <w:rFonts w:hint="eastAsia" w:ascii="Times New Roman" w:hAnsi="Times New Roman" w:eastAsia="仿宋_GB2312" w:cs="Times New Roman"/>
          <w:bCs/>
          <w:color w:val="000000" w:themeColor="text1"/>
          <w:spacing w:val="0"/>
          <w:sz w:val="32"/>
          <w:highlight w:val="none"/>
          <w:lang w:val="en-US" w:eastAsia="zh-CN"/>
          <w14:textFill>
            <w14:solidFill>
              <w14:schemeClr w14:val="tx1"/>
            </w14:solidFill>
          </w14:textFill>
        </w:rPr>
        <w:t>　　　　</w:t>
      </w:r>
    </w:p>
    <w:p>
      <w:pPr>
        <w:keepNext w:val="0"/>
        <w:keepLines w:val="0"/>
        <w:pageBreakBefore w:val="0"/>
        <w:widowControl w:val="0"/>
        <w:kinsoku/>
        <w:wordWrap/>
        <w:overflowPunct w:val="0"/>
        <w:topLinePunct w:val="0"/>
        <w:autoSpaceDE/>
        <w:autoSpaceDN/>
        <w:bidi w:val="0"/>
        <w:adjustRightInd/>
        <w:snapToGrid w:val="0"/>
        <w:spacing w:before="781" w:beforeLines="250" w:after="469" w:afterLines="150" w:line="400" w:lineRule="exact"/>
        <w:ind w:left="0" w:leftChars="0" w:right="0" w:rightChars="0" w:firstLine="0" w:firstLineChars="0"/>
        <w:jc w:val="center"/>
        <w:textAlignment w:val="auto"/>
        <w:outlineLvl w:val="9"/>
        <w:rPr>
          <w:rFonts w:hint="default" w:ascii="Times New Roman" w:hAnsi="Times New Roman" w:eastAsia="方正小标宋简体" w:cs="Times New Roman"/>
          <w:snapToGrid w:val="0"/>
          <w:spacing w:val="0"/>
          <w:kern w:val="0"/>
          <w:sz w:val="44"/>
          <w:szCs w:val="44"/>
          <w:highlight w:val="none"/>
          <w:lang w:val="en-US" w:eastAsia="zh-CN"/>
        </w:rPr>
      </w:pPr>
    </w:p>
    <w:p>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仿宋_GB2312" w:cs="Times New Roman"/>
          <w:bCs/>
          <w:color w:val="000000"/>
          <w:sz w:val="32"/>
          <w:szCs w:val="36"/>
        </w:rPr>
      </w:pPr>
    </w:p>
    <w:p>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仿宋_GB2312" w:cs="Times New Roman"/>
          <w:bCs/>
          <w:color w:val="000000"/>
          <w:sz w:val="32"/>
          <w:szCs w:val="36"/>
        </w:rPr>
      </w:pPr>
      <w:r>
        <w:rPr>
          <w:rFonts w:hint="default" w:ascii="Times New Roman" w:hAnsi="Times New Roman" w:eastAsia="仿宋_GB2312" w:cs="Times New Roman"/>
          <w:bCs/>
          <w:color w:val="000000"/>
          <w:sz w:val="32"/>
          <w:szCs w:val="36"/>
        </w:rPr>
        <w:t>长知发〔202</w:t>
      </w:r>
      <w:r>
        <w:rPr>
          <w:rFonts w:hint="eastAsia" w:ascii="Times New Roman" w:hAnsi="Times New Roman" w:eastAsia="仿宋_GB2312" w:cs="Times New Roman"/>
          <w:bCs/>
          <w:color w:val="000000"/>
          <w:sz w:val="32"/>
          <w:szCs w:val="36"/>
          <w:lang w:val="en-US" w:eastAsia="zh-CN"/>
        </w:rPr>
        <w:t>5</w:t>
      </w:r>
      <w:r>
        <w:rPr>
          <w:rFonts w:hint="default" w:ascii="Times New Roman" w:hAnsi="Times New Roman" w:eastAsia="仿宋_GB2312" w:cs="Times New Roman"/>
          <w:bCs/>
          <w:color w:val="000000"/>
          <w:sz w:val="32"/>
          <w:szCs w:val="36"/>
        </w:rPr>
        <w:t>〕</w:t>
      </w:r>
      <w:r>
        <w:rPr>
          <w:rFonts w:hint="eastAsia" w:ascii="Times New Roman" w:hAnsi="Times New Roman" w:eastAsia="仿宋_GB2312" w:cs="Times New Roman"/>
          <w:bCs/>
          <w:color w:val="000000"/>
          <w:sz w:val="32"/>
          <w:szCs w:val="36"/>
          <w:lang w:val="en-US" w:eastAsia="zh-CN"/>
        </w:rPr>
        <w:t>25</w:t>
      </w:r>
      <w:r>
        <w:rPr>
          <w:rFonts w:hint="default" w:ascii="Times New Roman" w:hAnsi="Times New Roman" w:eastAsia="仿宋_GB2312" w:cs="Times New Roman"/>
          <w:bCs/>
          <w:color w:val="000000"/>
          <w:sz w:val="32"/>
          <w:szCs w:val="36"/>
        </w:rPr>
        <w:t>号</w:t>
      </w:r>
    </w:p>
    <w:p>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仿宋_GB2312" w:cs="Times New Roman"/>
          <w:bCs/>
          <w:color w:val="000000"/>
          <w:sz w:val="32"/>
          <w:szCs w:val="36"/>
        </w:rPr>
      </w:pPr>
    </w:p>
    <w:p>
      <w:pPr>
        <w:keepNext w:val="0"/>
        <w:keepLines w:val="0"/>
        <w:pageBreakBefore w:val="0"/>
        <w:widowControl w:val="0"/>
        <w:kinsoku/>
        <w:wordWrap/>
        <w:overflowPunct w:val="0"/>
        <w:topLinePunct w:val="0"/>
        <w:autoSpaceDE/>
        <w:autoSpaceDN/>
        <w:bidi w:val="0"/>
        <w:adjustRightInd/>
        <w:snapToGrid w:val="0"/>
        <w:spacing w:before="474" w:beforeLines="150" w:after="469" w:afterLines="150" w:line="700" w:lineRule="exact"/>
        <w:ind w:left="0" w:leftChars="0" w:right="0" w:rightChars="0" w:firstLine="0" w:firstLineChars="0"/>
        <w:jc w:val="center"/>
        <w:textAlignment w:val="auto"/>
        <w:outlineLvl w:val="9"/>
        <w:rPr>
          <w:rFonts w:hint="eastAsia" w:ascii="仿宋_GB2312" w:hAnsi="仿宋_GB2312" w:eastAsia="仿宋_GB2312" w:cs="仿宋_GB2312"/>
          <w:color w:val="000000" w:themeColor="text1"/>
          <w:spacing w:val="-11"/>
          <w:sz w:val="32"/>
          <w:szCs w:val="32"/>
          <w:highlight w:val="none"/>
          <w14:textFill>
            <w14:solidFill>
              <w14:schemeClr w14:val="tx1"/>
            </w14:solidFill>
          </w14:textFill>
        </w:rPr>
      </w:pPr>
      <w:r>
        <w:rPr>
          <w:rFonts w:hint="default" w:ascii="Times New Roman" w:hAnsi="Times New Roman" w:eastAsia="方正小标宋简体" w:cs="Times New Roman"/>
          <w:snapToGrid w:val="0"/>
          <w:spacing w:val="0"/>
          <w:kern w:val="0"/>
          <w:sz w:val="44"/>
          <w:szCs w:val="44"/>
          <w:lang w:val="en-US" w:eastAsia="zh-CN"/>
        </w:rPr>
        <w:t>关于印发《长沙市</w:t>
      </w:r>
      <w:r>
        <w:rPr>
          <w:rFonts w:hint="eastAsia" w:ascii="Times New Roman" w:hAnsi="Times New Roman" w:eastAsia="方正小标宋简体" w:cs="Times New Roman"/>
          <w:snapToGrid w:val="0"/>
          <w:spacing w:val="0"/>
          <w:kern w:val="0"/>
          <w:sz w:val="44"/>
          <w:szCs w:val="44"/>
          <w:lang w:val="en-US" w:eastAsia="zh-CN"/>
        </w:rPr>
        <w:t>知识产权质押融资风险补偿资金管理办法</w:t>
      </w:r>
      <w:r>
        <w:rPr>
          <w:rFonts w:hint="default" w:ascii="Times New Roman" w:hAnsi="Times New Roman" w:eastAsia="方正小标宋简体" w:cs="Times New Roman"/>
          <w:snapToGrid w:val="0"/>
          <w:spacing w:val="0"/>
          <w:kern w:val="0"/>
          <w:sz w:val="44"/>
          <w:szCs w:val="44"/>
          <w:lang w:val="en-US" w:eastAsia="zh-CN"/>
        </w:rPr>
        <w:t>》的通知</w:t>
      </w:r>
    </w:p>
    <w:p>
      <w:pPr>
        <w:keepNext w:val="0"/>
        <w:keepLines w:val="0"/>
        <w:pageBreakBefore w:val="0"/>
        <w:widowControl w:val="0"/>
        <w:kinsoku/>
        <w:wordWrap/>
        <w:overflowPunct w:val="0"/>
        <w:topLinePunct w:val="0"/>
        <w:autoSpaceDE/>
        <w:autoSpaceDN/>
        <w:bidi w:val="0"/>
        <w:adjustRightInd w:val="0"/>
        <w:snapToGrid w:val="0"/>
        <w:spacing w:line="590" w:lineRule="exact"/>
        <w:jc w:val="left"/>
        <w:textAlignment w:val="auto"/>
        <w:outlineLvl w:val="9"/>
        <w:rPr>
          <w:rFonts w:hint="eastAsia" w:ascii="仿宋_GB2312" w:hAnsi="仿宋_GB2312" w:eastAsia="仿宋_GB2312" w:cs="仿宋_GB2312"/>
          <w:color w:val="000000" w:themeColor="text1"/>
          <w:spacing w:val="-11"/>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11"/>
          <w:sz w:val="32"/>
          <w:szCs w:val="32"/>
          <w:highlight w:val="none"/>
          <w14:textFill>
            <w14:solidFill>
              <w14:schemeClr w14:val="tx1"/>
            </w14:solidFill>
          </w14:textFill>
        </w:rPr>
        <w:t>湖南湘江新区</w:t>
      </w:r>
      <w:r>
        <w:rPr>
          <w:rFonts w:hint="eastAsia" w:ascii="仿宋_GB2312" w:hAnsi="仿宋_GB2312" w:eastAsia="仿宋_GB2312" w:cs="仿宋_GB2312"/>
          <w:color w:val="000000" w:themeColor="text1"/>
          <w:spacing w:val="-11"/>
          <w:sz w:val="32"/>
          <w:szCs w:val="32"/>
          <w:highlight w:val="none"/>
          <w:lang w:eastAsia="zh-CN"/>
          <w14:textFill>
            <w14:solidFill>
              <w14:schemeClr w14:val="tx1"/>
            </w14:solidFill>
          </w14:textFill>
        </w:rPr>
        <w:t>商务和市场监管</w:t>
      </w:r>
      <w:r>
        <w:rPr>
          <w:rFonts w:hint="eastAsia" w:ascii="仿宋_GB2312" w:hAnsi="仿宋_GB2312" w:eastAsia="仿宋_GB2312" w:cs="仿宋_GB2312"/>
          <w:color w:val="000000" w:themeColor="text1"/>
          <w:spacing w:val="-11"/>
          <w:sz w:val="32"/>
          <w:szCs w:val="32"/>
          <w:highlight w:val="none"/>
          <w14:textFill>
            <w14:solidFill>
              <w14:schemeClr w14:val="tx1"/>
            </w14:solidFill>
          </w14:textFill>
        </w:rPr>
        <w:t>局、财政</w:t>
      </w:r>
      <w:r>
        <w:rPr>
          <w:rFonts w:hint="eastAsia" w:ascii="仿宋_GB2312" w:hAnsi="仿宋_GB2312" w:eastAsia="仿宋_GB2312" w:cs="仿宋_GB2312"/>
          <w:color w:val="000000" w:themeColor="text1"/>
          <w:spacing w:val="-11"/>
          <w:sz w:val="32"/>
          <w:szCs w:val="32"/>
          <w:highlight w:val="none"/>
          <w:lang w:eastAsia="zh-CN"/>
          <w14:textFill>
            <w14:solidFill>
              <w14:schemeClr w14:val="tx1"/>
            </w14:solidFill>
          </w14:textFill>
        </w:rPr>
        <w:t>金融局</w:t>
      </w:r>
      <w:r>
        <w:rPr>
          <w:rFonts w:hint="eastAsia" w:ascii="仿宋_GB2312" w:hAnsi="仿宋_GB2312" w:eastAsia="仿宋_GB2312" w:cs="仿宋_GB2312"/>
          <w:color w:val="000000" w:themeColor="text1"/>
          <w:spacing w:val="-11"/>
          <w:sz w:val="32"/>
          <w:szCs w:val="32"/>
          <w:highlight w:val="none"/>
          <w14:textFill>
            <w14:solidFill>
              <w14:schemeClr w14:val="tx1"/>
            </w14:solidFill>
          </w14:textFill>
        </w:rPr>
        <w:t>，各区县（市）知识产权局、财政局，各园区知识产权、财政管理部门，各有关单位：</w:t>
      </w:r>
    </w:p>
    <w:p>
      <w:pPr>
        <w:keepNext w:val="0"/>
        <w:keepLines w:val="0"/>
        <w:pageBreakBefore w:val="0"/>
        <w:widowControl w:val="0"/>
        <w:kinsoku/>
        <w:wordWrap/>
        <w:overflowPunct w:val="0"/>
        <w:topLinePunct w:val="0"/>
        <w:autoSpaceDE/>
        <w:autoSpaceDN/>
        <w:bidi w:val="0"/>
        <w:adjustRightInd w:val="0"/>
        <w:snapToGrid w:val="0"/>
        <w:spacing w:line="590" w:lineRule="exact"/>
        <w:jc w:val="both"/>
        <w:textAlignment w:val="auto"/>
        <w:outlineLvl w:val="9"/>
        <w:rPr>
          <w:rFonts w:hint="eastAsia" w:ascii="仿宋_GB2312" w:hAnsi="仿宋_GB2312" w:eastAsia="仿宋_GB2312" w:cs="仿宋_GB2312"/>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color w:val="000000" w:themeColor="text1"/>
          <w:spacing w:val="0"/>
          <w:sz w:val="32"/>
          <w:szCs w:val="32"/>
          <w:highlight w:val="none"/>
          <w:lang w:val="en-US" w:eastAsia="zh-CN"/>
          <w14:textFill>
            <w14:solidFill>
              <w14:schemeClr w14:val="tx1"/>
            </w14:solidFill>
          </w14:textFill>
        </w:rPr>
        <w:t>　　为进一步推进全市知识产权质押融资工作，现将《长沙市知识产权质押融资风险补偿资金管理办法》印发给你们，请结合本地区本部门实际，抓好贯彻落实。</w:t>
      </w:r>
    </w:p>
    <w:p>
      <w:pPr>
        <w:keepNext w:val="0"/>
        <w:keepLines w:val="0"/>
        <w:pageBreakBefore w:val="0"/>
        <w:widowControl w:val="0"/>
        <w:kinsoku/>
        <w:wordWrap/>
        <w:overflowPunct w:val="0"/>
        <w:topLinePunct w:val="0"/>
        <w:autoSpaceDE/>
        <w:autoSpaceDN/>
        <w:bidi w:val="0"/>
        <w:adjustRightInd w:val="0"/>
        <w:snapToGrid w:val="0"/>
        <w:spacing w:line="560" w:lineRule="exact"/>
        <w:ind w:firstLine="0" w:firstLineChars="0"/>
        <w:jc w:val="both"/>
        <w:textAlignment w:val="auto"/>
        <w:outlineLvl w:val="9"/>
        <w:rPr>
          <w:rFonts w:hint="eastAsia" w:ascii="仿宋_GB2312" w:hAnsi="仿宋_GB2312" w:eastAsia="仿宋_GB2312" w:cs="仿宋_GB2312"/>
          <w:bCs/>
          <w:color w:val="000000" w:themeColor="text1"/>
          <w:spacing w:val="0"/>
          <w:sz w:val="32"/>
          <w:szCs w:val="32"/>
          <w:highlight w:val="none"/>
          <w:shd w:val="clear" w:color="auto" w:fill="FFFFFF"/>
          <w:lang w:eastAsia="zh-CN"/>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val="0"/>
        <w:snapToGrid w:val="0"/>
        <w:spacing w:line="560" w:lineRule="exact"/>
        <w:ind w:firstLine="0" w:firstLineChars="0"/>
        <w:jc w:val="both"/>
        <w:textAlignment w:val="auto"/>
        <w:outlineLvl w:val="9"/>
        <w:rPr>
          <w:rFonts w:hint="eastAsia" w:ascii="仿宋_GB2312" w:hAnsi="仿宋_GB2312" w:eastAsia="仿宋_GB2312" w:cs="仿宋_GB2312"/>
          <w:bCs/>
          <w:color w:val="000000" w:themeColor="text1"/>
          <w:spacing w:val="0"/>
          <w:sz w:val="32"/>
          <w:szCs w:val="32"/>
          <w:highlight w:val="none"/>
          <w:shd w:val="clear" w:color="auto" w:fill="FFFFFF"/>
          <w:lang w:eastAsia="zh-CN"/>
          <w14:textFill>
            <w14:solidFill>
              <w14:schemeClr w14:val="tx1"/>
            </w14:solidFill>
          </w14:textFill>
        </w:rPr>
      </w:pPr>
    </w:p>
    <w:p>
      <w:pPr>
        <w:pStyle w:val="2"/>
        <w:keepNext w:val="0"/>
        <w:keepLines w:val="0"/>
        <w:pageBreakBefore w:val="0"/>
        <w:widowControl w:val="0"/>
        <w:kinsoku/>
        <w:wordWrap/>
        <w:overflowPunct w:val="0"/>
        <w:topLinePunct w:val="0"/>
        <w:autoSpaceDE/>
        <w:autoSpaceDN/>
        <w:bidi w:val="0"/>
        <w:adjustRightInd w:val="0"/>
        <w:snapToGrid w:val="0"/>
        <w:spacing w:line="560" w:lineRule="exact"/>
        <w:textAlignment w:val="auto"/>
        <w:rPr>
          <w:rFonts w:hint="eastAsia"/>
          <w:highlight w:val="none"/>
          <w:lang w:eastAsia="zh-CN"/>
        </w:rPr>
      </w:pPr>
    </w:p>
    <w:p>
      <w:pPr>
        <w:keepNext w:val="0"/>
        <w:keepLines w:val="0"/>
        <w:pageBreakBefore w:val="0"/>
        <w:widowControl w:val="0"/>
        <w:kinsoku/>
        <w:wordWrap/>
        <w:overflowPunct w:val="0"/>
        <w:topLinePunct w:val="0"/>
        <w:autoSpaceDE/>
        <w:autoSpaceDN/>
        <w:bidi w:val="0"/>
        <w:adjustRightInd w:val="0"/>
        <w:snapToGrid w:val="0"/>
        <w:spacing w:line="560" w:lineRule="exact"/>
        <w:ind w:firstLine="1280" w:firstLineChars="400"/>
        <w:jc w:val="both"/>
        <w:textAlignment w:val="auto"/>
        <w:rPr>
          <w:rFonts w:hint="eastAsia" w:ascii="仿宋_GB2312" w:hAnsi="仿宋_GB2312" w:eastAsia="仿宋_GB2312" w:cs="仿宋_GB2312"/>
          <w:bCs/>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仿宋_GB2312" w:hAnsi="仿宋_GB2312" w:eastAsia="仿宋_GB2312" w:cs="仿宋_GB2312"/>
          <w:bCs/>
          <w:color w:val="000000" w:themeColor="text1"/>
          <w:spacing w:val="0"/>
          <w:sz w:val="32"/>
          <w:szCs w:val="32"/>
          <w:highlight w:val="none"/>
          <w:shd w:val="clear" w:color="auto" w:fill="FFFFFF"/>
          <w14:textFill>
            <w14:solidFill>
              <w14:schemeClr w14:val="tx1"/>
            </w14:solidFill>
          </w14:textFill>
        </w:rPr>
        <w:t>长沙市知识产权局</w:t>
      </w:r>
      <w:r>
        <w:rPr>
          <w:rFonts w:hint="eastAsia" w:ascii="仿宋_GB2312" w:hAnsi="仿宋_GB2312" w:eastAsia="仿宋_GB2312" w:cs="仿宋_GB2312"/>
          <w:bCs/>
          <w:color w:val="000000" w:themeColor="text1"/>
          <w:spacing w:val="0"/>
          <w:sz w:val="32"/>
          <w:szCs w:val="32"/>
          <w:highlight w:val="none"/>
          <w:shd w:val="clear" w:color="auto" w:fill="FFFFFF"/>
          <w:lang w:val="en-US" w:eastAsia="zh-CN"/>
          <w14:textFill>
            <w14:solidFill>
              <w14:schemeClr w14:val="tx1"/>
            </w14:solidFill>
          </w14:textFill>
        </w:rPr>
        <w:t>　　 　　</w:t>
      </w:r>
      <w:r>
        <w:rPr>
          <w:rFonts w:hint="eastAsia" w:ascii="仿宋_GB2312" w:hAnsi="仿宋_GB2312" w:eastAsia="仿宋_GB2312" w:cs="仿宋_GB2312"/>
          <w:bCs/>
          <w:color w:val="000000" w:themeColor="text1"/>
          <w:spacing w:val="0"/>
          <w:sz w:val="32"/>
          <w:szCs w:val="32"/>
          <w:highlight w:val="none"/>
          <w:shd w:val="clear" w:color="auto" w:fill="FFFFFF"/>
          <w14:textFill>
            <w14:solidFill>
              <w14:schemeClr w14:val="tx1"/>
            </w14:solidFill>
          </w14:textFill>
        </w:rPr>
        <w:t>长沙市财政局</w:t>
      </w:r>
    </w:p>
    <w:p>
      <w:pPr>
        <w:keepNext w:val="0"/>
        <w:keepLines w:val="0"/>
        <w:pageBreakBefore w:val="0"/>
        <w:widowControl w:val="0"/>
        <w:kinsoku/>
        <w:wordWrap/>
        <w:overflowPunct w:val="0"/>
        <w:topLinePunct w:val="0"/>
        <w:autoSpaceDE/>
        <w:autoSpaceDN/>
        <w:bidi w:val="0"/>
        <w:adjustRightInd w:val="0"/>
        <w:snapToGrid w:val="0"/>
        <w:spacing w:line="560" w:lineRule="exact"/>
        <w:ind w:firstLine="0" w:firstLineChars="0"/>
        <w:jc w:val="center"/>
        <w:textAlignment w:val="auto"/>
        <w:rPr>
          <w:rFonts w:hint="eastAsia" w:ascii="仿宋_GB2312" w:hAnsi="仿宋_GB2312" w:eastAsia="仿宋_GB2312" w:cs="仿宋_GB2312"/>
          <w:bCs/>
          <w:color w:val="000000" w:themeColor="text1"/>
          <w:spacing w:val="0"/>
          <w:sz w:val="32"/>
          <w:szCs w:val="32"/>
          <w:highlight w:val="none"/>
          <w:shd w:val="clear" w:color="auto" w:fill="FFFFFF"/>
          <w14:textFill>
            <w14:solidFill>
              <w14:schemeClr w14:val="tx1"/>
            </w14:solidFill>
          </w14:textFill>
        </w:rPr>
      </w:pPr>
      <w:r>
        <w:rPr>
          <w:rFonts w:hint="default" w:ascii="Times New Roman" w:hAnsi="Times New Roman" w:eastAsia="仿宋_GB2312" w:cs="Times New Roman"/>
          <w:bCs/>
          <w:color w:val="000000" w:themeColor="text1"/>
          <w:spacing w:val="0"/>
          <w:sz w:val="32"/>
          <w:szCs w:val="32"/>
          <w:highlight w:val="none"/>
          <w:shd w:val="clear" w:color="auto" w:fill="FFFFFF"/>
          <w14:textFill>
            <w14:solidFill>
              <w14:schemeClr w14:val="tx1"/>
            </w14:solidFill>
          </w14:textFill>
        </w:rPr>
        <w:t>202</w:t>
      </w:r>
      <w:r>
        <w:rPr>
          <w:rFonts w:hint="default" w:ascii="Times New Roman" w:hAnsi="Times New Roman" w:eastAsia="仿宋_GB2312" w:cs="Times New Roman"/>
          <w:bCs/>
          <w:color w:val="000000" w:themeColor="text1"/>
          <w:spacing w:val="0"/>
          <w:sz w:val="32"/>
          <w:szCs w:val="32"/>
          <w:highlight w:val="none"/>
          <w:shd w:val="clear" w:color="auto" w:fill="FFFFFF"/>
          <w:lang w:val="en-US" w:eastAsia="zh-CN"/>
          <w14:textFill>
            <w14:solidFill>
              <w14:schemeClr w14:val="tx1"/>
            </w14:solidFill>
          </w14:textFill>
        </w:rPr>
        <w:t>5</w:t>
      </w:r>
      <w:r>
        <w:rPr>
          <w:rFonts w:hint="default" w:ascii="Times New Roman" w:hAnsi="Times New Roman" w:eastAsia="仿宋_GB2312" w:cs="Times New Roman"/>
          <w:bCs/>
          <w:color w:val="000000" w:themeColor="text1"/>
          <w:spacing w:val="0"/>
          <w:sz w:val="32"/>
          <w:szCs w:val="32"/>
          <w:highlight w:val="none"/>
          <w:shd w:val="clear" w:color="auto" w:fill="FFFFFF"/>
          <w14:textFill>
            <w14:solidFill>
              <w14:schemeClr w14:val="tx1"/>
            </w14:solidFill>
          </w14:textFill>
        </w:rPr>
        <w:t>年</w:t>
      </w:r>
      <w:r>
        <w:rPr>
          <w:rFonts w:hint="default" w:ascii="Times New Roman" w:hAnsi="Times New Roman" w:eastAsia="仿宋_GB2312" w:cs="Times New Roman"/>
          <w:bCs/>
          <w:color w:val="000000" w:themeColor="text1"/>
          <w:spacing w:val="0"/>
          <w:sz w:val="32"/>
          <w:szCs w:val="32"/>
          <w:highlight w:val="none"/>
          <w:shd w:val="clear" w:color="auto" w:fill="FFFFFF"/>
          <w:lang w:val="en-US" w:eastAsia="zh-CN"/>
          <w14:textFill>
            <w14:solidFill>
              <w14:schemeClr w14:val="tx1"/>
            </w14:solidFill>
          </w14:textFill>
        </w:rPr>
        <w:t>12</w:t>
      </w:r>
      <w:r>
        <w:rPr>
          <w:rFonts w:hint="default" w:ascii="Times New Roman" w:hAnsi="Times New Roman" w:eastAsia="仿宋_GB2312" w:cs="Times New Roman"/>
          <w:bCs/>
          <w:color w:val="000000" w:themeColor="text1"/>
          <w:spacing w:val="0"/>
          <w:sz w:val="32"/>
          <w:szCs w:val="32"/>
          <w:highlight w:val="none"/>
          <w:shd w:val="clear" w:color="auto" w:fill="FFFFFF"/>
          <w14:textFill>
            <w14:solidFill>
              <w14:schemeClr w14:val="tx1"/>
            </w14:solidFill>
          </w14:textFill>
        </w:rPr>
        <w:t>月</w:t>
      </w:r>
      <w:r>
        <w:rPr>
          <w:rFonts w:hint="default" w:ascii="Times New Roman" w:hAnsi="Times New Roman" w:eastAsia="仿宋_GB2312" w:cs="Times New Roman"/>
          <w:bCs/>
          <w:color w:val="000000" w:themeColor="text1"/>
          <w:spacing w:val="0"/>
          <w:sz w:val="32"/>
          <w:szCs w:val="32"/>
          <w:highlight w:val="none"/>
          <w:shd w:val="clear" w:color="auto" w:fill="FFFFFF"/>
          <w:lang w:val="en-US" w:eastAsia="zh-CN"/>
          <w14:textFill>
            <w14:solidFill>
              <w14:schemeClr w14:val="tx1"/>
            </w14:solidFill>
          </w14:textFill>
        </w:rPr>
        <w:t>5</w:t>
      </w:r>
      <w:r>
        <w:rPr>
          <w:rFonts w:hint="default" w:ascii="Times New Roman" w:hAnsi="Times New Roman" w:eastAsia="仿宋_GB2312" w:cs="Times New Roman"/>
          <w:bCs/>
          <w:color w:val="000000" w:themeColor="text1"/>
          <w:spacing w:val="0"/>
          <w:sz w:val="32"/>
          <w:szCs w:val="32"/>
          <w:highlight w:val="none"/>
          <w:shd w:val="clear" w:color="auto" w:fill="FFFFFF"/>
          <w14:textFill>
            <w14:solidFill>
              <w14:schemeClr w14:val="tx1"/>
            </w14:solidFill>
          </w14:textFill>
        </w:rPr>
        <w:t>日</w:t>
      </w:r>
    </w:p>
    <w:p>
      <w:pPr>
        <w:pStyle w:val="7"/>
        <w:keepNext w:val="0"/>
        <w:keepLines w:val="0"/>
        <w:pageBreakBefore w:val="0"/>
        <w:widowControl w:val="0"/>
        <w:shd w:val="clear" w:color="auto" w:fill="FFFFFF"/>
        <w:kinsoku/>
        <w:wordWrap/>
        <w:overflowPunct w:val="0"/>
        <w:topLinePunct w:val="0"/>
        <w:autoSpaceDE/>
        <w:autoSpaceDN/>
        <w:bidi w:val="0"/>
        <w:adjustRightInd w:val="0"/>
        <w:snapToGrid w:val="0"/>
        <w:spacing w:before="0" w:beforeAutospacing="0" w:after="0" w:afterAutospacing="0" w:line="560" w:lineRule="exact"/>
        <w:jc w:val="center"/>
        <w:textAlignment w:val="auto"/>
        <w:rPr>
          <w:rStyle w:val="12"/>
          <w:rFonts w:hint="eastAsia" w:ascii="仿宋_GB2312" w:hAnsi="仿宋_GB2312" w:eastAsia="仿宋_GB2312" w:cs="仿宋_GB2312"/>
          <w:b w:val="0"/>
          <w:color w:val="000000" w:themeColor="text1"/>
          <w:sz w:val="32"/>
          <w:szCs w:val="32"/>
          <w:highlight w:val="none"/>
          <w14:textFill>
            <w14:solidFill>
              <w14:schemeClr w14:val="tx1"/>
            </w14:solidFill>
          </w14:textFill>
        </w:rPr>
        <w:sectPr>
          <w:footerReference r:id="rId3" w:type="default"/>
          <w:pgSz w:w="11906" w:h="16838"/>
          <w:pgMar w:top="1701" w:right="1559" w:bottom="1440" w:left="1559" w:header="851" w:footer="992" w:gutter="0"/>
          <w:pgNumType w:fmt="decimal"/>
          <w:cols w:space="0" w:num="1"/>
          <w:rtlGutter w:val="0"/>
          <w:docGrid w:type="lines" w:linePitch="315" w:charSpace="0"/>
        </w:sectPr>
      </w:pPr>
    </w:p>
    <w:p>
      <w:pPr>
        <w:keepNext w:val="0"/>
        <w:keepLines w:val="0"/>
        <w:pageBreakBefore w:val="0"/>
        <w:widowControl w:val="0"/>
        <w:kinsoku/>
        <w:wordWrap/>
        <w:overflowPunct w:val="0"/>
        <w:topLinePunct w:val="0"/>
        <w:autoSpaceDE/>
        <w:autoSpaceDN/>
        <w:bidi w:val="0"/>
        <w:adjustRightInd/>
        <w:snapToGrid/>
        <w:spacing w:before="313" w:beforeLines="100" w:after="469" w:afterLines="150" w:line="700" w:lineRule="exact"/>
        <w:jc w:val="center"/>
        <w:textAlignment w:val="auto"/>
        <w:outlineLvl w:val="9"/>
        <w:rPr>
          <w:rFonts w:hint="eastAsia" w:ascii="Times New Roman" w:hAnsi="Times New Roman" w:eastAsia="方正小标宋简体" w:cs="Times New Roman"/>
          <w:color w:val="000000" w:themeColor="text1"/>
          <w:spacing w:val="0"/>
          <w:sz w:val="44"/>
          <w:szCs w:val="44"/>
          <w14:textFill>
            <w14:solidFill>
              <w14:schemeClr w14:val="tx1"/>
            </w14:solidFill>
          </w14:textFill>
        </w:rPr>
      </w:pPr>
      <w:r>
        <w:rPr>
          <w:rFonts w:hint="eastAsia" w:ascii="Times New Roman" w:hAnsi="Times New Roman" w:eastAsia="方正小标宋简体" w:cs="Times New Roman"/>
          <w:color w:val="000000" w:themeColor="text1"/>
          <w:spacing w:val="0"/>
          <w:sz w:val="44"/>
          <w:szCs w:val="44"/>
          <w14:textFill>
            <w14:solidFill>
              <w14:schemeClr w14:val="tx1"/>
            </w14:solidFill>
          </w14:textFill>
        </w:rPr>
        <w:t>长沙市知识产权质押融资风险补偿</w:t>
      </w:r>
      <w:r>
        <w:rPr>
          <w:rFonts w:hint="eastAsia" w:ascii="Times New Roman" w:hAnsi="Times New Roman" w:eastAsia="方正小标宋简体" w:cs="Times New Roman"/>
          <w:color w:val="000000" w:themeColor="text1"/>
          <w:spacing w:val="0"/>
          <w:sz w:val="44"/>
          <w:szCs w:val="44"/>
          <w14:textFill>
            <w14:solidFill>
              <w14:schemeClr w14:val="tx1"/>
            </w14:solidFill>
          </w14:textFill>
        </w:rPr>
        <w:br w:type="textWrapping"/>
      </w:r>
      <w:r>
        <w:rPr>
          <w:rFonts w:hint="eastAsia" w:ascii="Times New Roman" w:hAnsi="Times New Roman" w:eastAsia="方正小标宋简体" w:cs="Times New Roman"/>
          <w:color w:val="000000" w:themeColor="text1"/>
          <w:spacing w:val="0"/>
          <w:sz w:val="44"/>
          <w:szCs w:val="44"/>
          <w14:textFill>
            <w14:solidFill>
              <w14:schemeClr w14:val="tx1"/>
            </w14:solidFill>
          </w14:textFill>
        </w:rPr>
        <w:t>资金管理办法</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316" w:beforeLines="100" w:beforeAutospacing="0" w:after="316" w:afterLines="100" w:afterAutospacing="0" w:line="590" w:lineRule="exact"/>
        <w:ind w:left="0" w:firstLine="0" w:firstLineChars="0"/>
        <w:jc w:val="center"/>
        <w:textAlignment w:val="auto"/>
        <w:rPr>
          <w:rFonts w:ascii="微软雅黑" w:hAnsi="微软雅黑" w:eastAsia="微软雅黑" w:cs="微软雅黑"/>
          <w:b w:val="0"/>
          <w:bCs w:val="0"/>
          <w:color w:val="000000" w:themeColor="text1"/>
          <w:sz w:val="32"/>
          <w:szCs w:val="32"/>
          <w:highlight w:val="none"/>
          <w14:textFill>
            <w14:solidFill>
              <w14:schemeClr w14:val="tx1"/>
            </w14:solidFill>
          </w14:textFill>
        </w:rPr>
      </w:pPr>
      <w:r>
        <w:rPr>
          <w:rStyle w:val="12"/>
          <w:rFonts w:hint="eastAsia" w:ascii="黑体" w:hAnsi="黑体" w:eastAsia="黑体" w:cs="黑体"/>
          <w:b w:val="0"/>
          <w:bCs w:val="0"/>
          <w:color w:val="000000" w:themeColor="text1"/>
          <w:sz w:val="32"/>
          <w:szCs w:val="32"/>
          <w:highlight w:val="none"/>
          <w14:textFill>
            <w14:solidFill>
              <w14:schemeClr w14:val="tx1"/>
            </w14:solidFill>
          </w14:textFill>
        </w:rPr>
        <w:t>第一章</w:t>
      </w: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　</w:t>
      </w:r>
      <w:r>
        <w:rPr>
          <w:rStyle w:val="12"/>
          <w:rFonts w:hint="eastAsia" w:ascii="黑体" w:hAnsi="黑体" w:eastAsia="黑体" w:cs="黑体"/>
          <w:b w:val="0"/>
          <w:bCs w:val="0"/>
          <w:color w:val="000000" w:themeColor="text1"/>
          <w:sz w:val="32"/>
          <w:szCs w:val="32"/>
          <w:highlight w:val="none"/>
          <w14:textFill>
            <w14:solidFill>
              <w14:schemeClr w14:val="tx1"/>
            </w14:solidFill>
          </w14:textFill>
        </w:rPr>
        <w:t>总</w:t>
      </w: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　</w:t>
      </w:r>
      <w:r>
        <w:rPr>
          <w:rStyle w:val="12"/>
          <w:rFonts w:hint="eastAsia" w:ascii="黑体" w:hAnsi="黑体" w:eastAsia="黑体" w:cs="黑体"/>
          <w:b w:val="0"/>
          <w:bCs w:val="0"/>
          <w:color w:val="000000" w:themeColor="text1"/>
          <w:sz w:val="32"/>
          <w:szCs w:val="32"/>
          <w:highlight w:val="none"/>
          <w14:textFill>
            <w14:solidFill>
              <w14:schemeClr w14:val="tx1"/>
            </w14:solidFill>
          </w14:textFill>
        </w:rPr>
        <w:t>则</w:t>
      </w:r>
    </w:p>
    <w:p>
      <w:pPr>
        <w:keepNext w:val="0"/>
        <w:keepLines w:val="0"/>
        <w:pageBreakBefore w:val="0"/>
        <w:widowControl w:val="0"/>
        <w:suppressLineNumbers w:val="0"/>
        <w:shd w:val="clear"/>
        <w:kinsoku/>
        <w:wordWrap/>
        <w:overflowPunct w:val="0"/>
        <w:topLinePunct w:val="0"/>
        <w:autoSpaceDE/>
        <w:autoSpaceDN/>
        <w:bidi w:val="0"/>
        <w:adjustRightInd w:val="0"/>
        <w:snapToGrid w:val="0"/>
        <w:spacing w:line="580" w:lineRule="exact"/>
        <w:ind w:left="0" w:firstLine="642" w:firstLineChars="200"/>
        <w:jc w:val="both"/>
        <w:textAlignment w:val="auto"/>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14:textFill>
            <w14:solidFill>
              <w14:schemeClr w14:val="tx1"/>
            </w14:solidFill>
          </w14:textFill>
        </w:rPr>
        <w:t>第一条</w:t>
      </w:r>
      <w:r>
        <w:rPr>
          <w:rFonts w:hint="eastAsia" w:ascii="华文楷体" w:hAnsi="华文楷体" w:eastAsia="楷体_GB2312" w:cs="华文楷体"/>
          <w:color w:val="000000" w:themeColor="text1"/>
          <w:kern w:val="0"/>
          <w:sz w:val="32"/>
          <w:szCs w:val="32"/>
          <w:highlight w:val="none"/>
          <w:lang w:eastAsia="zh-CN"/>
          <w14:textFill>
            <w14:solidFill>
              <w14:schemeClr w14:val="tx1"/>
            </w14:solidFill>
          </w14:textFill>
        </w:rPr>
        <w:t>　</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为深入实施创新驱动发展战略和国家知识产权战略，推动知识产权、金融与产业有效融合，充分发挥财政资金杠杆作用，促进知识产权质押融资工作，根据《国务院办公厅关于印发</w:t>
      </w:r>
      <w:r>
        <w:rPr>
          <w:rFonts w:hint="eastAsia" w:ascii="仿宋_GB2312" w:hAnsi="仿宋_GB2312" w:eastAsia="仿宋_GB2312" w:cs="仿宋_GB2312"/>
          <w:b w:val="0"/>
          <w:bCs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专利转化运用专项行动方案</w:t>
      </w:r>
      <w:r>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t>（2023—2025年）</w:t>
      </w:r>
      <w:r>
        <w:rPr>
          <w:rFonts w:hint="default" w:ascii="Times New Roman" w:hAnsi="Times New Roman" w:eastAsia="仿宋_GB2312" w:cs="Times New Roman"/>
          <w:b w:val="0"/>
          <w:bCs w:val="0"/>
          <w:color w:val="000000" w:themeColor="text1"/>
          <w:kern w:val="0"/>
          <w:sz w:val="32"/>
          <w:szCs w:val="32"/>
          <w:highlight w:val="none"/>
          <w:lang w:eastAsia="zh-CN"/>
          <w14:textFill>
            <w14:solidFill>
              <w14:schemeClr w14:val="tx1"/>
            </w14:solidFill>
          </w14:textFill>
        </w:rPr>
        <w:t>〉</w:t>
      </w:r>
      <w:r>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t>的通知》</w:t>
      </w:r>
      <w:r>
        <w:rPr>
          <w:rFonts w:hint="default" w:ascii="Times New Roman" w:hAnsi="Times New Roman" w:eastAsia="仿宋_GB2312" w:cs="Times New Roman"/>
          <w:b w:val="0"/>
          <w:bCs w:val="0"/>
          <w:color w:val="000000" w:themeColor="text1"/>
          <w:kern w:val="0"/>
          <w:sz w:val="32"/>
          <w:szCs w:val="32"/>
          <w:highlight w:val="none"/>
          <w:lang w:eastAsia="zh-CN"/>
          <w14:textFill>
            <w14:solidFill>
              <w14:schemeClr w14:val="tx1"/>
            </w14:solidFill>
          </w14:textFill>
        </w:rPr>
        <w:t>（</w:t>
      </w:r>
      <w:r>
        <w:rPr>
          <w:rFonts w:hint="default" w:ascii="Times New Roman" w:hAnsi="Times New Roman" w:eastAsia="仿宋_GB2312" w:cs="Times New Roman"/>
          <w:b w:val="0"/>
          <w:bCs w:val="0"/>
          <w:color w:val="000000" w:themeColor="text1"/>
          <w:kern w:val="0"/>
          <w:sz w:val="32"/>
          <w:szCs w:val="32"/>
          <w:highlight w:val="none"/>
          <w:lang w:val="en-US" w:eastAsia="zh-CN"/>
          <w14:textFill>
            <w14:solidFill>
              <w14:schemeClr w14:val="tx1"/>
            </w14:solidFill>
          </w14:textFill>
        </w:rPr>
        <w:t>国办发〔2023〕37号</w:t>
      </w:r>
      <w:r>
        <w:rPr>
          <w:rFonts w:hint="default" w:ascii="Times New Roman" w:hAnsi="Times New Roman" w:eastAsia="仿宋_GB2312" w:cs="Times New Roman"/>
          <w:b w:val="0"/>
          <w:bCs w:val="0"/>
          <w:color w:val="000000" w:themeColor="text1"/>
          <w:kern w:val="0"/>
          <w:sz w:val="32"/>
          <w:szCs w:val="32"/>
          <w:highlight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精神，</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制定本办法。</w:t>
      </w:r>
    </w:p>
    <w:p>
      <w:pPr>
        <w:pStyle w:val="13"/>
        <w:keepNext w:val="0"/>
        <w:keepLines w:val="0"/>
        <w:pageBreakBefore w:val="0"/>
        <w:widowControl w:val="0"/>
        <w:shd w:val="clear"/>
        <w:kinsoku/>
        <w:wordWrap/>
        <w:overflowPunct w:val="0"/>
        <w:topLinePunct w:val="0"/>
        <w:autoSpaceDE/>
        <w:autoSpaceDN/>
        <w:bidi w:val="0"/>
        <w:adjustRightInd w:val="0"/>
        <w:snapToGrid w:val="0"/>
        <w:spacing w:line="580" w:lineRule="exact"/>
        <w:ind w:left="0" w:firstLine="642"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第二条　</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长沙市知识产权质押融资风险补偿资金（以下简称市风险补偿资金）</w:t>
      </w:r>
      <w:r>
        <w:rPr>
          <w:rFonts w:hint="eastAsia" w:ascii="仿宋_GB2312" w:hAnsi="仿宋_GB2312" w:eastAsia="仿宋_GB2312" w:cs="仿宋_GB2312"/>
          <w:b w:val="0"/>
          <w:bCs w:val="0"/>
          <w:color w:val="000000" w:themeColor="text1"/>
          <w:kern w:val="0"/>
          <w:sz w:val="32"/>
          <w:szCs w:val="32"/>
          <w:highlight w:val="none"/>
          <w:lang w:eastAsia="zh-CN"/>
          <w14:textFill>
            <w14:solidFill>
              <w14:schemeClr w14:val="tx1"/>
            </w14:solidFill>
          </w14:textFill>
        </w:rPr>
        <w:t>为中央财政安排至长沙市用于知识产权运营服务体系建设的专项资金</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，资金额度为人民币</w:t>
      </w:r>
      <w:r>
        <w:rPr>
          <w:rFonts w:hint="default" w:ascii="Times New Roman" w:hAnsi="Times New Roman" w:eastAsia="仿宋_GB2312" w:cs="Times New Roman"/>
          <w:b w:val="0"/>
          <w:bCs w:val="0"/>
          <w:color w:val="000000" w:themeColor="text1"/>
          <w:kern w:val="0"/>
          <w:sz w:val="32"/>
          <w:szCs w:val="32"/>
          <w:highlight w:val="none"/>
          <w14:textFill>
            <w14:solidFill>
              <w14:schemeClr w14:val="tx1"/>
            </w14:solidFill>
          </w14:textFill>
        </w:rPr>
        <w:t>3000</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万元，</w:t>
      </w:r>
      <w:r>
        <w:rPr>
          <w:rFonts w:hint="eastAsia" w:ascii="仿宋_GB2312" w:hAnsi="仿宋_GB2312" w:eastAsia="仿宋_GB2312" w:cs="仿宋_GB2312"/>
          <w:bCs/>
          <w:color w:val="000000" w:themeColor="text1"/>
          <w:kern w:val="0"/>
          <w:sz w:val="32"/>
          <w:szCs w:val="32"/>
          <w:highlight w:val="none"/>
          <w14:textFill>
            <w14:solidFill>
              <w14:schemeClr w14:val="tx1"/>
            </w14:solidFill>
          </w14:textFill>
        </w:rPr>
        <w:t>市知识产权局为市风险补偿资金业务主管部门，</w:t>
      </w:r>
      <w:r>
        <w:rPr>
          <w:rFonts w:hint="eastAsia" w:ascii="仿宋_GB2312" w:hAnsi="仿宋_GB2312" w:eastAsia="仿宋_GB2312" w:cs="仿宋_GB2312"/>
          <w:color w:val="000000" w:themeColor="text1"/>
          <w:kern w:val="0"/>
          <w:sz w:val="32"/>
          <w:szCs w:val="32"/>
          <w14:textFill>
            <w14:solidFill>
              <w14:schemeClr w14:val="tx1"/>
            </w14:solidFill>
          </w14:textFill>
        </w:rPr>
        <w:t>依法依规委托运营管理机构负责具体运营管理</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，用于补偿合作银行在向</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科技型</w:t>
      </w:r>
      <w:r>
        <w:rPr>
          <w:rFonts w:hint="eastAsia" w:ascii="仿宋_GB2312" w:hAnsi="仿宋_GB2312" w:eastAsia="仿宋_GB2312" w:cs="仿宋_GB2312"/>
          <w:b w:val="0"/>
          <w:bCs w:val="0"/>
          <w:color w:val="000000" w:themeColor="text1"/>
          <w:kern w:val="0"/>
          <w:sz w:val="32"/>
          <w:szCs w:val="32"/>
          <w:highlight w:val="none"/>
          <w:lang w:eastAsia="zh-CN"/>
          <w14:textFill>
            <w14:solidFill>
              <w14:schemeClr w14:val="tx1"/>
            </w14:solidFill>
          </w14:textFill>
        </w:rPr>
        <w:t>中小</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企业开展知识产权质押融资服务中产生的部分</w:t>
      </w:r>
      <w:r>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t>本金</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损失</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pStyle w:val="13"/>
        <w:keepNext w:val="0"/>
        <w:keepLines w:val="0"/>
        <w:pageBreakBefore w:val="0"/>
        <w:widowControl w:val="0"/>
        <w:shd w:val="clear"/>
        <w:kinsoku/>
        <w:wordWrap/>
        <w:overflowPunct w:val="0"/>
        <w:topLinePunct w:val="0"/>
        <w:autoSpaceDE/>
        <w:autoSpaceDN/>
        <w:bidi w:val="0"/>
        <w:adjustRightInd w:val="0"/>
        <w:snapToGrid w:val="0"/>
        <w:spacing w:line="580" w:lineRule="exact"/>
        <w:ind w:left="0" w:firstLine="642" w:firstLineChars="200"/>
        <w:jc w:val="both"/>
        <w:textAlignment w:val="auto"/>
        <w:rPr>
          <w:rFonts w:hint="eastAsia" w:ascii="仿宋_GB2312" w:hAnsi="仿宋_GB2312" w:eastAsia="仿宋_GB2312" w:cs="仿宋_GB2312"/>
          <w:color w:val="000000" w:themeColor="text1"/>
          <w:kern w:val="0"/>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第三条　</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市风险补偿资金适用于具有独立法人资格，经营状况良好，在人民银行企业征信体系中无不良信用记录，并运用自主知识产权向合作银行进行质押融资的科技型</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中小</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企业</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80" w:lineRule="exact"/>
        <w:ind w:left="0" w:firstLine="642"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第四条</w:t>
      </w:r>
      <w:r>
        <w:rPr>
          <w:rFonts w:hint="eastAsia" w:ascii="仿宋" w:hAnsi="仿宋" w:eastAsia="仿宋" w:cs="仿宋"/>
          <w:color w:val="000000" w:themeColor="text1"/>
          <w:sz w:val="32"/>
          <w:szCs w:val="32"/>
          <w:highlight w:val="none"/>
          <w:lang w:eastAsia="zh-CN"/>
          <w14:textFill>
            <w14:solidFill>
              <w14:schemeClr w14:val="tx1"/>
            </w14:solidFill>
          </w14:textFill>
        </w:rPr>
        <w:t>　</w:t>
      </w:r>
      <w:r>
        <w:rPr>
          <w:rFonts w:hint="eastAsia" w:ascii="仿宋_GB2312" w:hAnsi="仿宋_GB2312" w:eastAsia="仿宋_GB2312" w:cs="仿宋_GB2312"/>
          <w:color w:val="000000" w:themeColor="text1"/>
          <w:sz w:val="32"/>
          <w:szCs w:val="32"/>
          <w:highlight w:val="none"/>
          <w14:textFill>
            <w14:solidFill>
              <w14:schemeClr w14:val="tx1"/>
            </w14:solidFill>
          </w14:textFill>
        </w:rPr>
        <w:t>本办法所称知识产权质押融资是指科技型</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中小</w:t>
      </w:r>
      <w:r>
        <w:rPr>
          <w:rFonts w:hint="eastAsia" w:ascii="仿宋_GB2312" w:hAnsi="仿宋_GB2312" w:eastAsia="仿宋_GB2312" w:cs="仿宋_GB2312"/>
          <w:b w:val="0"/>
          <w:bCs w:val="0"/>
          <w:color w:val="000000" w:themeColor="text1"/>
          <w:kern w:val="0"/>
          <w:sz w:val="32"/>
          <w:szCs w:val="32"/>
          <w:highlight w:val="none"/>
          <w14:textFill>
            <w14:solidFill>
              <w14:schemeClr w14:val="tx1"/>
            </w14:solidFill>
          </w14:textFill>
        </w:rPr>
        <w:t>企业</w:t>
      </w:r>
      <w:r>
        <w:rPr>
          <w:rFonts w:hint="eastAsia" w:ascii="仿宋_GB2312" w:hAnsi="仿宋_GB2312" w:eastAsia="仿宋_GB2312" w:cs="仿宋_GB2312"/>
          <w:color w:val="000000" w:themeColor="text1"/>
          <w:sz w:val="32"/>
          <w:szCs w:val="32"/>
          <w:highlight w:val="none"/>
          <w14:textFill>
            <w14:solidFill>
              <w14:schemeClr w14:val="tx1"/>
            </w14:solidFill>
          </w14:textFill>
        </w:rPr>
        <w:t>以其合法有效且可以转让的专利权、商标权、</w:t>
      </w:r>
      <w:r>
        <w:rPr>
          <w:rFonts w:hint="eastAsia" w:ascii="仿宋_GB2312" w:hAnsi="仿宋_GB2312" w:eastAsia="仿宋_GB2312" w:cs="仿宋_GB2312"/>
          <w:color w:val="auto"/>
          <w:sz w:val="32"/>
          <w:szCs w:val="32"/>
          <w:highlight w:val="none"/>
        </w:rPr>
        <w:t>著作权</w:t>
      </w:r>
      <w:r>
        <w:rPr>
          <w:rFonts w:hint="eastAsia" w:ascii="仿宋_GB2312" w:hAnsi="仿宋_GB2312" w:eastAsia="仿宋_GB2312" w:cs="仿宋_GB2312"/>
          <w:color w:val="000000" w:themeColor="text1"/>
          <w:sz w:val="32"/>
          <w:szCs w:val="32"/>
          <w:highlight w:val="none"/>
          <w14:textFill>
            <w14:solidFill>
              <w14:schemeClr w14:val="tx1"/>
            </w14:solidFill>
          </w14:textFill>
        </w:rPr>
        <w:t>质押获</w:t>
      </w:r>
      <w:r>
        <w:rPr>
          <w:rFonts w:hint="eastAsia" w:ascii="仿宋_GB2312" w:hAnsi="仿宋_GB2312" w:eastAsia="仿宋_GB2312" w:cs="仿宋_GB2312"/>
          <w:color w:val="auto"/>
          <w:sz w:val="32"/>
          <w:szCs w:val="32"/>
          <w:highlight w:val="none"/>
        </w:rPr>
        <w:t>得合作银行贷</w:t>
      </w:r>
      <w:r>
        <w:rPr>
          <w:rFonts w:hint="eastAsia" w:ascii="仿宋_GB2312" w:hAnsi="仿宋_GB2312" w:eastAsia="仿宋_GB2312" w:cs="仿宋_GB2312"/>
          <w:color w:val="000000" w:themeColor="text1"/>
          <w:sz w:val="32"/>
          <w:szCs w:val="32"/>
          <w:highlight w:val="none"/>
          <w14:textFill>
            <w14:solidFill>
              <w14:schemeClr w14:val="tx1"/>
            </w14:solidFill>
          </w14:textFill>
        </w:rPr>
        <w:t>款。</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第五条　</w:t>
      </w:r>
      <w:r>
        <w:rPr>
          <w:rFonts w:hint="eastAsia" w:ascii="仿宋_GB2312" w:hAnsi="仿宋_GB2312" w:eastAsia="仿宋_GB2312" w:cs="仿宋_GB2312"/>
          <w:color w:val="000000" w:themeColor="text1"/>
          <w:sz w:val="32"/>
          <w:szCs w:val="32"/>
          <w:highlight w:val="none"/>
          <w14:textFill>
            <w14:solidFill>
              <w14:schemeClr w14:val="tx1"/>
            </w14:solidFill>
          </w14:textFill>
        </w:rPr>
        <w:t>知识产权质押融资贷款必须用于本企业技术研发</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项目产业化建设、运营、管理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技术改造</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流动资金周转等生产经营活动，不得用于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其他</w:t>
      </w:r>
      <w:r>
        <w:rPr>
          <w:rFonts w:hint="eastAsia" w:ascii="仿宋_GB2312" w:hAnsi="仿宋_GB2312" w:eastAsia="仿宋_GB2312" w:cs="仿宋_GB2312"/>
          <w:color w:val="000000" w:themeColor="text1"/>
          <w:sz w:val="32"/>
          <w:szCs w:val="32"/>
          <w:highlight w:val="none"/>
          <w14:textFill>
            <w14:solidFill>
              <w14:schemeClr w14:val="tx1"/>
            </w14:solidFill>
          </w14:textFill>
        </w:rPr>
        <w:t>用途。</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eastAsia" w:ascii="仿宋_GB2312" w:hAnsi="仿宋_GB2312" w:eastAsia="仿宋_GB2312" w:cs="仿宋_GB2312"/>
          <w:b w:val="0"/>
          <w:bCs w:val="0"/>
          <w:color w:val="auto"/>
          <w:sz w:val="32"/>
          <w:szCs w:val="32"/>
          <w:highlight w:val="none"/>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第六条　</w:t>
      </w:r>
      <w:r>
        <w:rPr>
          <w:rFonts w:hint="eastAsia" w:ascii="仿宋_GB2312" w:hAnsi="仿宋_GB2312" w:eastAsia="仿宋_GB2312" w:cs="仿宋_GB2312"/>
          <w:b w:val="0"/>
          <w:bCs w:val="0"/>
          <w:color w:val="auto"/>
          <w:sz w:val="32"/>
          <w:szCs w:val="32"/>
          <w:highlight w:val="none"/>
        </w:rPr>
        <w:t>合作银行是指与</w:t>
      </w:r>
      <w:r>
        <w:rPr>
          <w:rFonts w:hint="eastAsia" w:ascii="仿宋_GB2312" w:hAnsi="仿宋_GB2312" w:eastAsia="仿宋_GB2312" w:cs="仿宋_GB2312"/>
          <w:b w:val="0"/>
          <w:bCs w:val="0"/>
          <w:color w:val="auto"/>
          <w:sz w:val="32"/>
          <w:szCs w:val="32"/>
          <w:highlight w:val="none"/>
          <w:lang w:val="en-US" w:eastAsia="zh-CN"/>
        </w:rPr>
        <w:t>运营管理机构</w:t>
      </w:r>
      <w:r>
        <w:rPr>
          <w:rFonts w:hint="eastAsia" w:ascii="仿宋_GB2312" w:hAnsi="仿宋_GB2312" w:eastAsia="仿宋_GB2312" w:cs="仿宋_GB2312"/>
          <w:b w:val="0"/>
          <w:bCs w:val="0"/>
          <w:color w:val="auto"/>
          <w:sz w:val="32"/>
          <w:szCs w:val="32"/>
          <w:highlight w:val="none"/>
        </w:rPr>
        <w:t>签订相关风险补偿资金业务合作协议，开展知识产权质押融资业务的银行机构。</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316" w:beforeLines="100" w:beforeAutospacing="0" w:after="316" w:afterLines="100" w:afterAutospacing="0" w:line="590" w:lineRule="exact"/>
        <w:ind w:left="0" w:firstLine="0" w:firstLineChars="0"/>
        <w:jc w:val="center"/>
        <w:textAlignment w:val="auto"/>
        <w:rPr>
          <w:rStyle w:val="12"/>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Style w:val="12"/>
          <w:rFonts w:hint="eastAsia" w:ascii="黑体" w:hAnsi="黑体" w:eastAsia="黑体" w:cs="黑体"/>
          <w:b w:val="0"/>
          <w:bCs w:val="0"/>
          <w:color w:val="000000" w:themeColor="text1"/>
          <w:sz w:val="32"/>
          <w:szCs w:val="32"/>
          <w:highlight w:val="none"/>
          <w14:textFill>
            <w14:solidFill>
              <w14:schemeClr w14:val="tx1"/>
            </w14:solidFill>
          </w14:textFill>
        </w:rPr>
        <w:t>第二章</w:t>
      </w: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　</w:t>
      </w:r>
      <w:r>
        <w:rPr>
          <w:rStyle w:val="12"/>
          <w:rFonts w:hint="eastAsia" w:ascii="黑体" w:hAnsi="黑体" w:eastAsia="黑体" w:cs="黑体"/>
          <w:b w:val="0"/>
          <w:bCs w:val="0"/>
          <w:color w:val="000000" w:themeColor="text1"/>
          <w:sz w:val="32"/>
          <w:szCs w:val="32"/>
          <w:highlight w:val="none"/>
          <w14:textFill>
            <w14:solidFill>
              <w14:schemeClr w14:val="tx1"/>
            </w14:solidFill>
          </w14:textFill>
        </w:rPr>
        <w:t>资金管理</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第七条　</w:t>
      </w:r>
      <w:r>
        <w:rPr>
          <w:rFonts w:hint="eastAsia" w:ascii="仿宋_GB2312" w:hAnsi="仿宋_GB2312" w:eastAsia="仿宋_GB2312" w:cs="仿宋_GB2312"/>
          <w:color w:val="000000" w:themeColor="text1"/>
          <w:sz w:val="32"/>
          <w:szCs w:val="32"/>
          <w:highlight w:val="none"/>
          <w14:textFill>
            <w14:solidFill>
              <w14:schemeClr w14:val="tx1"/>
            </w14:solidFill>
          </w14:textFill>
        </w:rPr>
        <w:t>市知识产权局为市风险补偿资金的业务主管机构，主要职责包括：</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制定</w:t>
      </w:r>
      <w:r>
        <w:rPr>
          <w:rFonts w:hint="eastAsia" w:ascii="仿宋_GB2312" w:hAnsi="仿宋_GB2312" w:eastAsia="仿宋_GB2312" w:cs="仿宋_GB2312"/>
          <w:color w:val="000000" w:themeColor="text1"/>
          <w:sz w:val="32"/>
          <w:szCs w:val="32"/>
          <w:highlight w:val="none"/>
          <w14:textFill>
            <w14:solidFill>
              <w14:schemeClr w14:val="tx1"/>
            </w14:solidFill>
          </w14:textFill>
        </w:rPr>
        <w:t>市风险补偿资金管理办法</w:t>
      </w:r>
      <w:r>
        <w:rPr>
          <w:rFonts w:hint="eastAsia" w:ascii="仿宋_GB2312" w:hAnsi="仿宋_GB2312" w:eastAsia="仿宋_GB2312" w:cs="仿宋_GB2312"/>
          <w:color w:val="auto"/>
          <w:sz w:val="32"/>
          <w:szCs w:val="32"/>
          <w:highlight w:val="none"/>
        </w:rPr>
        <w:t>，建立风险共担机制</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（二）审定、签署委托管理协议；</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（三）</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研究</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市风险补偿资金</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组建、增减资金额度、管理、运营以及退出中的重大事项；</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（四）负责对</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市风险补偿资金</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拨付的</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审查</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（五）负责</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市风险补偿资金</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拨付使用的监督、管理和考核工作；</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（六）加强对</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市风险补偿资金</w:t>
      </w:r>
      <w:r>
        <w:rPr>
          <w:rFonts w:hint="eastAsia" w:ascii="仿宋_GB2312" w:hAnsi="仿宋_GB2312" w:eastAsia="仿宋_GB2312" w:cs="仿宋_GB2312"/>
          <w:color w:val="000000" w:themeColor="text1"/>
          <w:sz w:val="32"/>
          <w:szCs w:val="32"/>
          <w:highlight w:val="none"/>
          <w14:textFill>
            <w14:solidFill>
              <w14:schemeClr w14:val="tx1"/>
            </w14:solidFill>
          </w14:textFill>
        </w:rPr>
        <w:t>管理人的监督、考核和指导。</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第八条　</w:t>
      </w:r>
      <w:r>
        <w:rPr>
          <w:rFonts w:hint="eastAsia" w:ascii="仿宋_GB2312" w:hAnsi="仿宋_GB2312" w:eastAsia="仿宋_GB2312" w:cs="仿宋_GB2312"/>
          <w:color w:val="000000" w:themeColor="text1"/>
          <w:sz w:val="32"/>
          <w:szCs w:val="32"/>
          <w:highlight w:val="none"/>
          <w14:textFill>
            <w14:solidFill>
              <w14:schemeClr w14:val="tx1"/>
            </w14:solidFill>
          </w14:textFill>
        </w:rPr>
        <w:t>市财政局作为市风险补偿资金的监管机构，主要职责包括：</w:t>
      </w:r>
    </w:p>
    <w:p>
      <w:pPr>
        <w:keepNext w:val="0"/>
        <w:keepLines w:val="0"/>
        <w:pageBreakBefore w:val="0"/>
        <w:widowControl w:val="0"/>
        <w:shd w:val="clear"/>
        <w:kinsoku/>
        <w:wordWrap/>
        <w:overflowPunct w:val="0"/>
        <w:topLinePunct w:val="0"/>
        <w:autoSpaceDE/>
        <w:autoSpaceDN/>
        <w:bidi w:val="0"/>
        <w:adjustRightInd w:val="0"/>
        <w:snapToGrid w:val="0"/>
        <w:spacing w:line="590" w:lineRule="exact"/>
        <w:ind w:left="0"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（一）负责市风险补偿资金的预算指标下达、按程序拨付资金；</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（二）协同业务主管机构做好市风险补偿资金使用的监督、管理和重点绩效评价工作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第九条　</w:t>
      </w:r>
      <w:r>
        <w:rPr>
          <w:rFonts w:hint="eastAsia" w:ascii="仿宋_GB2312" w:hAnsi="仿宋_GB2312" w:eastAsia="仿宋_GB2312" w:cs="仿宋_GB2312"/>
          <w:color w:val="auto"/>
          <w:sz w:val="32"/>
          <w:szCs w:val="32"/>
          <w:lang w:val="en-US" w:eastAsia="zh-CN"/>
        </w:rPr>
        <w:t>运营管理机构依据委托管理协议承担市风险补偿资金的具体运作和管理工作</w:t>
      </w:r>
      <w:r>
        <w:rPr>
          <w:rFonts w:hint="eastAsia" w:ascii="仿宋_GB2312" w:hAnsi="仿宋_GB2312" w:eastAsia="仿宋_GB2312" w:cs="仿宋_GB2312"/>
          <w:color w:val="000000" w:themeColor="text1"/>
          <w:sz w:val="32"/>
          <w:szCs w:val="32"/>
          <w:highlight w:val="none"/>
          <w14:textFill>
            <w14:solidFill>
              <w14:schemeClr w14:val="tx1"/>
            </w14:solidFill>
          </w14:textFill>
        </w:rPr>
        <w:t>，主要职责</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包括</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（一）受托管理市风险补偿资金，负责该资金的日常运营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管理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资金账户管理；</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（二）依据相关规定</w:t>
      </w:r>
      <w:r>
        <w:rPr>
          <w:rFonts w:hint="eastAsia" w:ascii="仿宋_GB2312" w:hAnsi="仿宋_GB2312" w:eastAsia="仿宋_GB2312" w:cs="仿宋_GB2312"/>
          <w:color w:val="000000" w:themeColor="text1"/>
          <w:sz w:val="32"/>
          <w:szCs w:val="32"/>
          <w:highlight w:val="none"/>
          <w14:textFill>
            <w14:solidFill>
              <w14:schemeClr w14:val="tx1"/>
            </w14:solidFill>
          </w14:textFill>
        </w:rPr>
        <w:t>公开遴选合作银行；对合作</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银行</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进行</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动态管理，</w:t>
      </w:r>
      <w:r>
        <w:rPr>
          <w:rFonts w:hint="eastAsia" w:ascii="仿宋_GB2312" w:hAnsi="仿宋_GB2312" w:eastAsia="仿宋_GB2312" w:cs="仿宋_GB2312"/>
          <w:bCs/>
          <w:color w:val="000000" w:themeColor="text1"/>
          <w:sz w:val="32"/>
          <w:szCs w:val="32"/>
          <w:highlight w:val="none"/>
          <w:lang w:val="en-US" w:eastAsia="zh-CN"/>
          <w14:textFill>
            <w14:solidFill>
              <w14:schemeClr w14:val="tx1"/>
            </w14:solidFill>
          </w14:textFill>
        </w:rPr>
        <w:t>建立</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准入和退出机制</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引导</w:t>
      </w:r>
      <w:r>
        <w:rPr>
          <w:rFonts w:hint="eastAsia" w:ascii="仿宋_GB2312" w:hAnsi="仿宋_GB2312" w:eastAsia="仿宋_GB2312" w:cs="仿宋_GB2312"/>
          <w:color w:val="000000" w:themeColor="text1"/>
          <w:sz w:val="32"/>
          <w:szCs w:val="32"/>
          <w:highlight w:val="none"/>
          <w14:textFill>
            <w14:solidFill>
              <w14:schemeClr w14:val="tx1"/>
            </w14:solidFill>
          </w14:textFill>
        </w:rPr>
        <w:t>协调各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相关</w:t>
      </w:r>
      <w:r>
        <w:rPr>
          <w:rFonts w:hint="eastAsia" w:ascii="仿宋_GB2312" w:hAnsi="仿宋_GB2312" w:eastAsia="仿宋_GB2312" w:cs="仿宋_GB2312"/>
          <w:color w:val="000000" w:themeColor="text1"/>
          <w:sz w:val="32"/>
          <w:szCs w:val="32"/>
          <w:highlight w:val="none"/>
          <w14:textFill>
            <w14:solidFill>
              <w14:schemeClr w14:val="tx1"/>
            </w14:solidFill>
          </w14:textFill>
        </w:rPr>
        <w:t>机构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降低企业融资成本；</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14:textFill>
            <w14:solidFill>
              <w14:schemeClr w14:val="tx1"/>
            </w14:solidFill>
          </w14:textFill>
        </w:rPr>
        <w:t>）核实市风险补偿资金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信贷业务</w:t>
      </w:r>
      <w:r>
        <w:rPr>
          <w:rFonts w:hint="eastAsia" w:ascii="仿宋_GB2312" w:hAnsi="仿宋_GB2312" w:eastAsia="仿宋_GB2312" w:cs="仿宋_GB2312"/>
          <w:color w:val="000000" w:themeColor="text1"/>
          <w:sz w:val="32"/>
          <w:szCs w:val="32"/>
          <w:highlight w:val="none"/>
          <w14:textFill>
            <w14:solidFill>
              <w14:schemeClr w14:val="tx1"/>
            </w14:solidFill>
          </w14:textFill>
        </w:rPr>
        <w:t>准入资格；</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14:textFill>
            <w14:solidFill>
              <w14:schemeClr w14:val="tx1"/>
            </w14:solidFill>
          </w14:textFill>
        </w:rPr>
        <w:t>）负责对合作银行申报的风险补偿款项进行</w:t>
      </w:r>
      <w:r>
        <w:rPr>
          <w:rFonts w:hint="eastAsia" w:ascii="仿宋_GB2312" w:hAnsi="仿宋_GB2312" w:eastAsia="仿宋_GB2312" w:cs="仿宋_GB2312"/>
          <w:bCs/>
          <w:color w:val="000000" w:themeColor="text1"/>
          <w:sz w:val="32"/>
          <w:szCs w:val="32"/>
          <w:highlight w:val="none"/>
          <w14:textFill>
            <w14:solidFill>
              <w14:schemeClr w14:val="tx1"/>
            </w14:solidFill>
          </w14:textFill>
        </w:rPr>
        <w:t>资料收集整理和初审工作</w:t>
      </w:r>
      <w:r>
        <w:rPr>
          <w:rFonts w:hint="eastAsia" w:ascii="仿宋_GB2312" w:hAnsi="仿宋_GB2312" w:eastAsia="仿宋_GB2312" w:cs="仿宋_GB2312"/>
          <w:bCs/>
          <w:color w:val="000000" w:themeColor="text1"/>
          <w:sz w:val="32"/>
          <w:szCs w:val="32"/>
          <w:highlight w:val="none"/>
          <w:lang w:eastAsia="zh-CN"/>
          <w14:textFill>
            <w14:solidFill>
              <w14:schemeClr w14:val="tx1"/>
            </w14:solidFill>
          </w14:textFill>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Cs/>
          <w:color w:val="000000" w:themeColor="text1"/>
          <w:kern w:val="0"/>
          <w:sz w:val="32"/>
          <w:szCs w:val="32"/>
          <w:highlight w:val="none"/>
          <w:lang w:val="en-US" w:eastAsia="zh-CN" w:bidi="ar-SA"/>
          <w14:textFill>
            <w14:solidFill>
              <w14:schemeClr w14:val="tx1"/>
            </w14:solidFill>
          </w14:textFill>
        </w:rPr>
        <w:t>（五）加强市风险补偿资金项目贷后管理和监督，并定期向市知识产权局提交市风险补偿资金运作情况的报告；</w:t>
      </w:r>
    </w:p>
    <w:p>
      <w:pPr>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default" w:ascii="Times New Roman" w:hAnsi="Times New Roman" w:eastAsia="仿宋_GB2312" w:cs="Times New Roman"/>
          <w:color w:val="auto"/>
          <w:sz w:val="32"/>
          <w:szCs w:val="32"/>
          <w:highlight w:val="none"/>
        </w:rPr>
      </w:pPr>
      <w:r>
        <w:rPr>
          <w:rFonts w:hint="eastAsia" w:ascii="仿宋_GB2312" w:hAnsi="仿宋_GB2312" w:eastAsia="仿宋_GB2312" w:cs="仿宋_GB2312"/>
          <w:bCs/>
          <w:color w:val="000000" w:themeColor="text1"/>
          <w:kern w:val="0"/>
          <w:sz w:val="32"/>
          <w:szCs w:val="32"/>
          <w:highlight w:val="none"/>
          <w:lang w:val="en-US" w:eastAsia="zh-CN" w:bidi="ar-SA"/>
          <w14:textFill>
            <w14:solidFill>
              <w14:schemeClr w14:val="tx1"/>
            </w14:solidFill>
          </w14:textFill>
        </w:rPr>
        <w:t>（六）</w:t>
      </w:r>
      <w:r>
        <w:rPr>
          <w:rFonts w:hint="eastAsia" w:ascii="仿宋_GB2312" w:hAnsi="仿宋_GB2312" w:eastAsia="仿宋_GB2312" w:cs="仿宋_GB2312"/>
          <w:bCs/>
          <w:color w:val="000000" w:themeColor="text1"/>
          <w:spacing w:val="-9"/>
          <w:kern w:val="0"/>
          <w:sz w:val="32"/>
          <w:szCs w:val="32"/>
          <w:highlight w:val="none"/>
          <w:lang w:val="en-US" w:eastAsia="zh-CN" w:bidi="ar-SA"/>
          <w14:textFill>
            <w14:solidFill>
              <w14:schemeClr w14:val="tx1"/>
            </w14:solidFill>
          </w14:textFill>
        </w:rPr>
        <w:t>依法依规提供与市风险补偿资金贷款业务相关的服务。</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eastAsia" w:ascii="仿宋_GB2312" w:hAnsi="仿宋_GB2312" w:eastAsia="仿宋_GB2312" w:cs="仿宋_GB2312"/>
          <w:color w:val="auto"/>
          <w:sz w:val="32"/>
          <w:szCs w:val="32"/>
          <w:highlight w:val="none"/>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第十条　</w:t>
      </w:r>
      <w:r>
        <w:rPr>
          <w:rFonts w:hint="eastAsia" w:ascii="仿宋_GB2312" w:hAnsi="仿宋_GB2312" w:eastAsia="仿宋_GB2312" w:cs="仿宋_GB2312"/>
          <w:color w:val="000000" w:themeColor="text1"/>
          <w:sz w:val="32"/>
          <w:szCs w:val="32"/>
          <w:highlight w:val="none"/>
          <w14:textFill>
            <w14:solidFill>
              <w14:schemeClr w14:val="tx1"/>
            </w14:solidFill>
          </w14:textFill>
        </w:rPr>
        <w:t>运营管理机构与合作银行</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签订合作</w:t>
      </w:r>
      <w:r>
        <w:rPr>
          <w:rFonts w:hint="eastAsia" w:ascii="仿宋_GB2312" w:hAnsi="仿宋_GB2312" w:eastAsia="仿宋_GB2312" w:cs="仿宋_GB2312"/>
          <w:color w:val="000000" w:themeColor="text1"/>
          <w:sz w:val="32"/>
          <w:szCs w:val="32"/>
          <w:highlight w:val="none"/>
          <w14:textFill>
            <w14:solidFill>
              <w14:schemeClr w14:val="tx1"/>
            </w14:solidFill>
          </w14:textFill>
        </w:rPr>
        <w:t>协议，受市知识产权局委托将市风险补偿资金存入其在合作银行开立的专用账户，资金利息滚存、专款专用。</w:t>
      </w:r>
    </w:p>
    <w:p>
      <w:pPr>
        <w:keepNext w:val="0"/>
        <w:keepLines w:val="0"/>
        <w:pageBreakBefore w:val="0"/>
        <w:widowControl w:val="0"/>
        <w:shd w:val="clear"/>
        <w:kinsoku/>
        <w:wordWrap/>
        <w:overflowPunct w:val="0"/>
        <w:topLinePunct w:val="0"/>
        <w:autoSpaceDE/>
        <w:autoSpaceDN/>
        <w:bidi w:val="0"/>
        <w:adjustRightInd w:val="0"/>
        <w:snapToGrid w:val="0"/>
        <w:spacing w:line="590" w:lineRule="exact"/>
        <w:ind w:left="0" w:firstLine="642" w:firstLineChars="200"/>
        <w:jc w:val="both"/>
        <w:textAlignment w:val="auto"/>
        <w:rPr>
          <w:rFonts w:hint="eastAsia" w:ascii="仿宋_GB2312" w:hAnsi="仿宋_GB2312" w:eastAsia="仿宋_GB2312" w:cs="仿宋_GB2312"/>
          <w:b w:val="0"/>
          <w:bCs w:val="0"/>
          <w:color w:val="000000" w:themeColor="text1"/>
          <w:kern w:val="0"/>
          <w:sz w:val="32"/>
          <w:szCs w:val="32"/>
          <w:highlight w:val="none"/>
          <w:lang w:val="en-US" w:eastAsia="zh-CN" w:bidi="ar-SA"/>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第十一条　</w:t>
      </w:r>
      <w:r>
        <w:rPr>
          <w:rFonts w:hint="eastAsia" w:ascii="仿宋_GB2312" w:hAnsi="仿宋_GB2312" w:eastAsia="仿宋_GB2312" w:cs="仿宋_GB2312"/>
          <w:color w:val="auto"/>
          <w:sz w:val="32"/>
          <w:szCs w:val="32"/>
          <w:highlight w:val="none"/>
        </w:rPr>
        <w:t>合作银行由</w:t>
      </w:r>
      <w:r>
        <w:rPr>
          <w:rFonts w:hint="eastAsia" w:ascii="仿宋_GB2312" w:hAnsi="仿宋_GB2312" w:eastAsia="仿宋_GB2312" w:cs="仿宋_GB2312"/>
          <w:color w:val="auto"/>
          <w:sz w:val="32"/>
          <w:szCs w:val="32"/>
          <w:highlight w:val="none"/>
          <w:lang w:val="en-US" w:eastAsia="zh-CN"/>
        </w:rPr>
        <w:t>运营管理机构</w:t>
      </w:r>
      <w:r>
        <w:rPr>
          <w:rFonts w:hint="eastAsia" w:ascii="仿宋_GB2312" w:hAnsi="仿宋_GB2312" w:eastAsia="仿宋_GB2312" w:cs="仿宋_GB2312"/>
          <w:color w:val="auto"/>
          <w:sz w:val="32"/>
          <w:szCs w:val="32"/>
          <w:highlight w:val="none"/>
        </w:rPr>
        <w:t>通过公开遴选方式确定并</w:t>
      </w:r>
      <w:r>
        <w:rPr>
          <w:rFonts w:hint="eastAsia" w:ascii="仿宋_GB2312" w:hAnsi="仿宋_GB2312" w:eastAsia="仿宋_GB2312" w:cs="仿宋_GB2312"/>
          <w:color w:val="auto"/>
          <w:sz w:val="32"/>
          <w:szCs w:val="32"/>
          <w:highlight w:val="none"/>
          <w:lang w:eastAsia="zh-CN"/>
        </w:rPr>
        <w:t>向</w:t>
      </w:r>
      <w:r>
        <w:rPr>
          <w:rFonts w:hint="eastAsia" w:ascii="仿宋_GB2312" w:hAnsi="仿宋_GB2312" w:eastAsia="仿宋_GB2312" w:cs="仿宋_GB2312"/>
          <w:color w:val="auto"/>
          <w:sz w:val="32"/>
          <w:szCs w:val="32"/>
          <w:highlight w:val="none"/>
        </w:rPr>
        <w:t>市知识产权局</w:t>
      </w:r>
      <w:r>
        <w:rPr>
          <w:rFonts w:hint="eastAsia" w:ascii="仿宋_GB2312" w:hAnsi="仿宋_GB2312" w:eastAsia="仿宋_GB2312" w:cs="仿宋_GB2312"/>
          <w:color w:val="auto"/>
          <w:sz w:val="32"/>
          <w:szCs w:val="32"/>
          <w:highlight w:val="none"/>
          <w:lang w:eastAsia="zh-CN"/>
        </w:rPr>
        <w:t>报备。</w:t>
      </w:r>
      <w:r>
        <w:rPr>
          <w:rFonts w:hint="eastAsia" w:ascii="仿宋_GB2312" w:hAnsi="仿宋_GB2312" w:eastAsia="仿宋_GB2312" w:cs="仿宋_GB2312"/>
          <w:color w:val="auto"/>
          <w:sz w:val="32"/>
          <w:szCs w:val="32"/>
          <w:highlight w:val="none"/>
        </w:rPr>
        <w:t>合作银行</w:t>
      </w:r>
      <w:r>
        <w:rPr>
          <w:rFonts w:hint="eastAsia" w:ascii="仿宋_GB2312" w:hAnsi="仿宋_GB2312" w:eastAsia="仿宋_GB2312" w:cs="仿宋_GB2312"/>
          <w:color w:val="000000" w:themeColor="text1"/>
          <w:sz w:val="32"/>
          <w:szCs w:val="32"/>
          <w:highlight w:val="none"/>
          <w14:textFill>
            <w14:solidFill>
              <w14:schemeClr w14:val="tx1"/>
            </w14:solidFill>
          </w14:textFill>
        </w:rPr>
        <w:t>须</w:t>
      </w:r>
      <w:r>
        <w:rPr>
          <w:rFonts w:hint="eastAsia" w:ascii="仿宋_GB2312" w:hAnsi="仿宋_GB2312" w:eastAsia="仿宋_GB2312" w:cs="仿宋_GB2312"/>
          <w:color w:val="000000" w:themeColor="text1"/>
          <w:kern w:val="0"/>
          <w:sz w:val="32"/>
          <w:szCs w:val="32"/>
          <w:highlight w:val="none"/>
          <w:lang w:val="en-US" w:eastAsia="zh-CN" w:bidi="ar-SA"/>
          <w14:textFill>
            <w14:solidFill>
              <w14:schemeClr w14:val="tx1"/>
            </w14:solidFill>
          </w14:textFill>
        </w:rPr>
        <w:t>在长沙市行政区域内依法合规经营，信贷审批流程严谨清晰，业务执行高效准确，风险防控全面及时，拥有专业的业务团队和健全的知识产权质押融资贷款管理制度，具有成熟的知识产权质押融资贷款产品。</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316" w:beforeLines="100" w:beforeAutospacing="0" w:after="316" w:afterLines="100" w:afterAutospacing="0" w:line="590" w:lineRule="exact"/>
        <w:ind w:left="0" w:firstLine="0" w:firstLineChars="0"/>
        <w:jc w:val="center"/>
        <w:textAlignment w:val="auto"/>
        <w:rPr>
          <w:rStyle w:val="12"/>
          <w:rFonts w:hint="eastAsia" w:ascii="黑体" w:hAnsi="黑体" w:eastAsia="黑体" w:cs="黑体"/>
          <w:b w:val="0"/>
          <w:bCs w:val="0"/>
          <w:color w:val="000000" w:themeColor="text1"/>
          <w:sz w:val="32"/>
          <w:szCs w:val="32"/>
          <w:highlight w:val="none"/>
          <w14:textFill>
            <w14:solidFill>
              <w14:schemeClr w14:val="tx1"/>
            </w14:solidFill>
          </w14:textFill>
        </w:rPr>
      </w:pPr>
      <w:r>
        <w:rPr>
          <w:rStyle w:val="12"/>
          <w:rFonts w:hint="eastAsia" w:ascii="黑体" w:hAnsi="黑体" w:eastAsia="黑体" w:cs="黑体"/>
          <w:b w:val="0"/>
          <w:bCs w:val="0"/>
          <w:color w:val="000000" w:themeColor="text1"/>
          <w:sz w:val="32"/>
          <w:szCs w:val="32"/>
          <w:highlight w:val="none"/>
          <w14:textFill>
            <w14:solidFill>
              <w14:schemeClr w14:val="tx1"/>
            </w14:solidFill>
          </w14:textFill>
        </w:rPr>
        <w:t>第三章</w:t>
      </w: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　</w:t>
      </w:r>
      <w:r>
        <w:rPr>
          <w:rStyle w:val="12"/>
          <w:rFonts w:hint="eastAsia" w:ascii="黑体" w:hAnsi="黑体" w:eastAsia="黑体" w:cs="黑体"/>
          <w:b w:val="0"/>
          <w:bCs w:val="0"/>
          <w:color w:val="000000" w:themeColor="text1"/>
          <w:sz w:val="32"/>
          <w:szCs w:val="32"/>
          <w:highlight w:val="none"/>
          <w14:textFill>
            <w14:solidFill>
              <w14:schemeClr w14:val="tx1"/>
            </w14:solidFill>
          </w14:textFill>
        </w:rPr>
        <w:t>资金运行</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第十二条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纳入市风险补偿资金支持的企业贷款，</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其风险补偿标准为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pPr>
        <w:pStyle w:val="3"/>
        <w:keepNext w:val="0"/>
        <w:keepLines w:val="0"/>
        <w:pageBreakBefore w:val="0"/>
        <w:widowControl w:val="0"/>
        <w:numPr>
          <w:ilvl w:val="0"/>
          <w:numId w:val="0"/>
        </w:numPr>
        <w:shd w:val="clear"/>
        <w:kinsoku/>
        <w:wordWrap/>
        <w:overflowPunct w:val="0"/>
        <w:topLinePunct w:val="0"/>
        <w:autoSpaceDE/>
        <w:autoSpaceDN/>
        <w:bidi w:val="0"/>
        <w:adjustRightInd w:val="0"/>
        <w:snapToGrid w:val="0"/>
        <w:spacing w:line="590" w:lineRule="exact"/>
        <w:ind w:left="0" w:firstLine="640" w:firstLineChars="200"/>
        <w:jc w:val="both"/>
        <w:textAlignment w:val="auto"/>
        <w:rPr>
          <w:rFonts w:hint="default" w:ascii="Times New Roman" w:hAnsi="Times New Roman" w:eastAsia="仿宋_GB2312" w:cs="Times New Roman"/>
          <w:b w:val="0"/>
          <w:bCs w:val="0"/>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（一）</w:t>
      </w:r>
      <w:r>
        <w:rPr>
          <w:rFonts w:hint="default"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合作银行按规定为企业发放知识产权质押融资贷款，由合作银行及市风险补偿资金按比例进行风险分担。其中，</w:t>
      </w:r>
      <w:r>
        <w:rPr>
          <w:rFonts w:hint="default" w:ascii="Times New Roman" w:hAnsi="Times New Roman" w:eastAsia="仿宋_GB2312" w:cs="Times New Roman"/>
          <w:b w:val="0"/>
          <w:bCs w:val="0"/>
          <w:color w:val="auto"/>
          <w:spacing w:val="-3"/>
          <w:kern w:val="0"/>
          <w:sz w:val="32"/>
          <w:szCs w:val="32"/>
          <w:highlight w:val="none"/>
          <w:lang w:val="en-US" w:eastAsia="zh-CN" w:bidi="ar-SA"/>
        </w:rPr>
        <w:t>贷款金额500万元（含）</w:t>
      </w:r>
      <w:r>
        <w:rPr>
          <w:rFonts w:hint="eastAsia" w:ascii="Times New Roman" w:hAnsi="Times New Roman" w:eastAsia="仿宋_GB2312" w:cs="Times New Roman"/>
          <w:b w:val="0"/>
          <w:bCs w:val="0"/>
          <w:color w:val="auto"/>
          <w:spacing w:val="-3"/>
          <w:kern w:val="0"/>
          <w:sz w:val="32"/>
          <w:szCs w:val="32"/>
          <w:highlight w:val="none"/>
          <w:lang w:val="en-US" w:eastAsia="zh-CN" w:bidi="ar-SA"/>
        </w:rPr>
        <w:t>以内</w:t>
      </w:r>
      <w:r>
        <w:rPr>
          <w:rFonts w:hint="default" w:ascii="Times New Roman" w:hAnsi="Times New Roman" w:eastAsia="仿宋_GB2312" w:cs="Times New Roman"/>
          <w:b w:val="0"/>
          <w:bCs w:val="0"/>
          <w:color w:val="auto"/>
          <w:spacing w:val="-3"/>
          <w:kern w:val="0"/>
          <w:sz w:val="32"/>
          <w:szCs w:val="32"/>
          <w:highlight w:val="none"/>
          <w:lang w:val="en-US" w:eastAsia="zh-CN" w:bidi="ar-SA"/>
        </w:rPr>
        <w:t>的，合作银行</w:t>
      </w:r>
      <w:r>
        <w:rPr>
          <w:rFonts w:hint="default"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分担比例</w:t>
      </w:r>
      <w:r>
        <w:rPr>
          <w:rFonts w:hint="default" w:ascii="Times New Roman" w:hAnsi="Times New Roman" w:eastAsia="仿宋_GB2312" w:cs="Times New Roman"/>
          <w:b w:val="0"/>
          <w:bCs w:val="0"/>
          <w:color w:val="auto"/>
          <w:spacing w:val="-3"/>
          <w:kern w:val="0"/>
          <w:sz w:val="32"/>
          <w:szCs w:val="32"/>
          <w:highlight w:val="none"/>
          <w:lang w:val="en-US" w:eastAsia="zh-CN" w:bidi="ar-SA"/>
        </w:rPr>
        <w:t>50%，市风险补偿资金</w:t>
      </w:r>
      <w:r>
        <w:rPr>
          <w:rFonts w:hint="default"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分担比例</w:t>
      </w:r>
      <w:r>
        <w:rPr>
          <w:rFonts w:hint="default" w:ascii="Times New Roman" w:hAnsi="Times New Roman" w:eastAsia="仿宋_GB2312" w:cs="Times New Roman"/>
          <w:b w:val="0"/>
          <w:bCs w:val="0"/>
          <w:color w:val="auto"/>
          <w:spacing w:val="-3"/>
          <w:kern w:val="0"/>
          <w:sz w:val="32"/>
          <w:szCs w:val="32"/>
          <w:highlight w:val="none"/>
          <w:lang w:val="en-US" w:eastAsia="zh-CN" w:bidi="ar-SA"/>
        </w:rPr>
        <w:t>50%</w:t>
      </w:r>
      <w:r>
        <w:rPr>
          <w:rFonts w:hint="default"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；贷款金额500万元</w:t>
      </w:r>
      <w:r>
        <w:rPr>
          <w:rFonts w:hint="eastAsia"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（不含）</w:t>
      </w:r>
      <w:r>
        <w:rPr>
          <w:rFonts w:hint="eastAsia" w:ascii="仿宋_GB2312" w:hAnsi="仿宋_GB2312" w:eastAsia="仿宋_GB2312" w:cs="仿宋_GB2312"/>
          <w:b w:val="0"/>
          <w:bCs w:val="0"/>
          <w:color w:val="auto"/>
          <w:spacing w:val="-3"/>
          <w:sz w:val="32"/>
          <w:szCs w:val="32"/>
          <w:highlight w:val="none"/>
          <w:lang w:val="en-US" w:eastAsia="zh-CN"/>
        </w:rPr>
        <w:t>-</w:t>
      </w:r>
      <w:r>
        <w:rPr>
          <w:rFonts w:hint="default"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1000万元（含）的，合作银行分担比例</w:t>
      </w:r>
      <w:r>
        <w:rPr>
          <w:rFonts w:hint="eastAsia"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6</w:t>
      </w:r>
      <w:r>
        <w:rPr>
          <w:rFonts w:hint="default"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0%，市风险补偿资金分担比例</w:t>
      </w:r>
      <w:r>
        <w:rPr>
          <w:rFonts w:hint="eastAsia"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4</w:t>
      </w:r>
      <w:r>
        <w:rPr>
          <w:rFonts w:hint="default" w:ascii="Times New Roman" w:hAnsi="Times New Roman" w:eastAsia="仿宋_GB2312" w:cs="Times New Roman"/>
          <w:b w:val="0"/>
          <w:bCs w:val="0"/>
          <w:color w:val="000000" w:themeColor="text1"/>
          <w:spacing w:val="-3"/>
          <w:kern w:val="0"/>
          <w:sz w:val="32"/>
          <w:szCs w:val="32"/>
          <w:highlight w:val="none"/>
          <w:lang w:val="en-US" w:eastAsia="zh-CN" w:bidi="ar-SA"/>
          <w14:textFill>
            <w14:solidFill>
              <w14:schemeClr w14:val="tx1"/>
            </w14:solidFill>
          </w14:textFill>
        </w:rPr>
        <w:t>0%。</w:t>
      </w:r>
    </w:p>
    <w:p>
      <w:pPr>
        <w:pStyle w:val="3"/>
        <w:keepNext w:val="0"/>
        <w:keepLines w:val="0"/>
        <w:pageBreakBefore w:val="0"/>
        <w:widowControl w:val="0"/>
        <w:numPr>
          <w:ilvl w:val="0"/>
          <w:numId w:val="0"/>
        </w:numPr>
        <w:shd w:val="clear"/>
        <w:kinsoku/>
        <w:wordWrap/>
        <w:overflowPunct w:val="0"/>
        <w:topLinePunct w:val="0"/>
        <w:autoSpaceDE/>
        <w:autoSpaceDN/>
        <w:bidi w:val="0"/>
        <w:adjustRightInd w:val="0"/>
        <w:snapToGrid w:val="0"/>
        <w:spacing w:line="590" w:lineRule="exact"/>
        <w:ind w:left="0" w:firstLine="640" w:firstLineChars="200"/>
        <w:jc w:val="both"/>
        <w:textAlignment w:val="auto"/>
        <w:rPr>
          <w:rFonts w:hint="default" w:ascii="Times New Roman" w:hAnsi="Times New Roman" w:eastAsia="仿宋_GB2312" w:cs="Times New Roman"/>
          <w:b w:val="0"/>
          <w:bCs w:val="0"/>
          <w:color w:val="000000" w:themeColor="text1"/>
          <w:kern w:val="0"/>
          <w:sz w:val="32"/>
          <w:szCs w:val="32"/>
          <w:highlight w:val="none"/>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b w:val="0"/>
          <w:bCs w:val="0"/>
          <w:color w:val="000000" w:themeColor="text1"/>
          <w:kern w:val="0"/>
          <w:sz w:val="32"/>
          <w:szCs w:val="32"/>
          <w:highlight w:val="none"/>
          <w:lang w:val="en-US" w:eastAsia="zh-CN" w:bidi="ar-SA"/>
          <w14:textFill>
            <w14:solidFill>
              <w14:schemeClr w14:val="tx1"/>
            </w14:solidFill>
          </w14:textFill>
        </w:rPr>
        <w:t>合作银行引入担保公司或保险公司合作的，由合作银行、担保公司或保险公司及市风险补偿资金按比例进行风险分担。合作银行及其合作的担保公司或保险公司分担比例70%（其中合作银行分担比例不得低于20%），市风险补偿资金分担比例30%。</w:t>
      </w:r>
    </w:p>
    <w:p>
      <w:pPr>
        <w:pStyle w:val="3"/>
        <w:keepNext w:val="0"/>
        <w:keepLines w:val="0"/>
        <w:pageBreakBefore w:val="0"/>
        <w:widowControl w:val="0"/>
        <w:numPr>
          <w:ilvl w:val="0"/>
          <w:numId w:val="0"/>
        </w:numPr>
        <w:shd w:val="clear"/>
        <w:kinsoku/>
        <w:wordWrap/>
        <w:overflowPunct w:val="0"/>
        <w:topLinePunct w:val="0"/>
        <w:autoSpaceDE/>
        <w:autoSpaceDN/>
        <w:bidi w:val="0"/>
        <w:adjustRightInd w:val="0"/>
        <w:snapToGrid w:val="0"/>
        <w:spacing w:line="590" w:lineRule="exact"/>
        <w:ind w:left="0" w:leftChars="0" w:firstLine="640" w:firstLineChars="200"/>
        <w:jc w:val="both"/>
        <w:textAlignment w:val="auto"/>
        <w:rPr>
          <w:rFonts w:hint="default" w:ascii="Times New Roman" w:hAnsi="Times New Roman" w:eastAsia="仿宋_GB2312" w:cs="Times New Roman"/>
          <w:color w:val="000000" w:themeColor="text1"/>
          <w:kern w:val="0"/>
          <w:sz w:val="32"/>
          <w:szCs w:val="32"/>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0"/>
          <w:sz w:val="32"/>
          <w:szCs w:val="32"/>
          <w:highlight w:val="none"/>
          <w:lang w:val="en-US" w:eastAsia="zh-CN" w:bidi="ar-SA"/>
          <w14:textFill>
            <w14:solidFill>
              <w14:schemeClr w14:val="tx1"/>
            </w14:solidFill>
          </w14:textFill>
        </w:rPr>
        <w:t>合作银行引入担保公司或保险公司合作的，由合作银行按照市场化原则遴选担保公司或保险公司，并每年将合作担保或保险公司</w:t>
      </w:r>
      <w:r>
        <w:rPr>
          <w:rFonts w:hint="eastAsia" w:ascii="Times New Roman" w:hAnsi="Times New Roman" w:eastAsia="仿宋_GB2312" w:cs="Times New Roman"/>
          <w:color w:val="000000" w:themeColor="text1"/>
          <w:kern w:val="0"/>
          <w:sz w:val="32"/>
          <w:szCs w:val="32"/>
          <w:highlight w:val="none"/>
          <w:lang w:val="en-US" w:eastAsia="zh-CN" w:bidi="ar-SA"/>
          <w14:textFill>
            <w14:solidFill>
              <w14:schemeClr w14:val="tx1"/>
            </w14:solidFill>
          </w14:textFill>
        </w:rPr>
        <w:t>向</w:t>
      </w:r>
      <w:r>
        <w:rPr>
          <w:rFonts w:hint="default" w:ascii="Times New Roman" w:hAnsi="Times New Roman" w:eastAsia="仿宋_GB2312" w:cs="Times New Roman"/>
          <w:color w:val="000000" w:themeColor="text1"/>
          <w:kern w:val="0"/>
          <w:sz w:val="32"/>
          <w:szCs w:val="32"/>
          <w:highlight w:val="none"/>
          <w:lang w:val="en-US" w:eastAsia="zh-CN" w:bidi="ar-SA"/>
          <w14:textFill>
            <w14:solidFill>
              <w14:schemeClr w14:val="tx1"/>
            </w14:solidFill>
          </w14:textFill>
        </w:rPr>
        <w:t>运营</w:t>
      </w:r>
      <w:r>
        <w:rPr>
          <w:rFonts w:hint="eastAsia" w:ascii="Times New Roman" w:hAnsi="Times New Roman" w:eastAsia="仿宋_GB2312" w:cs="Times New Roman"/>
          <w:color w:val="000000" w:themeColor="text1"/>
          <w:kern w:val="0"/>
          <w:sz w:val="32"/>
          <w:szCs w:val="32"/>
          <w:highlight w:val="none"/>
          <w:lang w:val="en-US" w:eastAsia="zh-CN" w:bidi="ar-SA"/>
          <w14:textFill>
            <w14:solidFill>
              <w14:schemeClr w14:val="tx1"/>
            </w14:solidFill>
          </w14:textFill>
        </w:rPr>
        <w:t>管理</w:t>
      </w:r>
      <w:r>
        <w:rPr>
          <w:rFonts w:hint="default" w:ascii="Times New Roman" w:hAnsi="Times New Roman" w:eastAsia="仿宋_GB2312" w:cs="Times New Roman"/>
          <w:color w:val="000000" w:themeColor="text1"/>
          <w:kern w:val="0"/>
          <w:sz w:val="32"/>
          <w:szCs w:val="32"/>
          <w:highlight w:val="none"/>
          <w:lang w:val="en-US" w:eastAsia="zh-CN" w:bidi="ar-SA"/>
          <w14:textFill>
            <w14:solidFill>
              <w14:schemeClr w14:val="tx1"/>
            </w14:solidFill>
          </w14:textFill>
        </w:rPr>
        <w:t>机构</w:t>
      </w:r>
      <w:r>
        <w:rPr>
          <w:rFonts w:hint="eastAsia" w:ascii="Times New Roman" w:hAnsi="Times New Roman" w:eastAsia="仿宋_GB2312" w:cs="Times New Roman"/>
          <w:color w:val="000000" w:themeColor="text1"/>
          <w:kern w:val="0"/>
          <w:sz w:val="32"/>
          <w:szCs w:val="32"/>
          <w:highlight w:val="none"/>
          <w:lang w:val="en-US" w:eastAsia="zh-CN" w:bidi="ar-SA"/>
          <w14:textFill>
            <w14:solidFill>
              <w14:schemeClr w14:val="tx1"/>
            </w14:solidFill>
          </w14:textFill>
        </w:rPr>
        <w:t>报备</w:t>
      </w:r>
      <w:r>
        <w:rPr>
          <w:rFonts w:hint="default" w:ascii="Times New Roman" w:hAnsi="Times New Roman" w:eastAsia="仿宋_GB2312" w:cs="Times New Roman"/>
          <w:color w:val="000000" w:themeColor="text1"/>
          <w:kern w:val="0"/>
          <w:sz w:val="32"/>
          <w:szCs w:val="32"/>
          <w:highlight w:val="none"/>
          <w:lang w:val="en-US" w:eastAsia="zh-CN" w:bidi="ar-SA"/>
          <w14:textFill>
            <w14:solidFill>
              <w14:schemeClr w14:val="tx1"/>
            </w14:solidFill>
          </w14:textFill>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第十三条</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　</w:t>
      </w:r>
      <w:r>
        <w:rPr>
          <w:rFonts w:hint="default" w:ascii="Times New Roman" w:hAnsi="Times New Roman" w:eastAsia="仿宋_GB2312" w:cs="Times New Roman"/>
          <w:color w:val="auto"/>
          <w:sz w:val="32"/>
          <w:szCs w:val="32"/>
          <w:highlight w:val="none"/>
        </w:rPr>
        <w:t>合作银行</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应独立审核和发放贷款，做好企业融资服务，提高管理效率，防范贷款风险。</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第十四条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企业不按合同约定履行还本付</w:t>
      </w:r>
      <w:r>
        <w:rPr>
          <w:rFonts w:hint="default" w:ascii="Times New Roman" w:hAnsi="Times New Roman" w:eastAsia="仿宋_GB2312" w:cs="Times New Roman"/>
          <w:color w:val="auto"/>
          <w:sz w:val="32"/>
          <w:szCs w:val="32"/>
          <w:highlight w:val="none"/>
        </w:rPr>
        <w:t>息义务，</w:t>
      </w:r>
      <w:r>
        <w:rPr>
          <w:rFonts w:hint="default" w:ascii="Times New Roman" w:hAnsi="Times New Roman" w:eastAsia="仿宋_GB2312" w:cs="Times New Roman"/>
          <w:b w:val="0"/>
          <w:bCs w:val="0"/>
          <w:color w:val="auto"/>
          <w:sz w:val="32"/>
          <w:szCs w:val="32"/>
          <w:highlight w:val="none"/>
        </w:rPr>
        <w:t>经合作银行启动催收直至</w:t>
      </w:r>
      <w:r>
        <w:rPr>
          <w:rFonts w:hint="eastAsia" w:ascii="Times New Roman" w:hAnsi="Times New Roman" w:eastAsia="仿宋_GB2312" w:cs="Times New Roman"/>
          <w:b w:val="0"/>
          <w:bCs w:val="0"/>
          <w:color w:val="auto"/>
          <w:sz w:val="32"/>
          <w:szCs w:val="32"/>
          <w:highlight w:val="none"/>
          <w:lang w:eastAsia="zh-CN"/>
        </w:rPr>
        <w:t>法院终审判决或执行终结</w:t>
      </w:r>
      <w:r>
        <w:rPr>
          <w:rFonts w:hint="default" w:ascii="Times New Roman" w:hAnsi="Times New Roman" w:eastAsia="仿宋_GB2312" w:cs="Times New Roman"/>
          <w:b w:val="0"/>
          <w:bCs w:val="0"/>
          <w:color w:val="auto"/>
          <w:sz w:val="32"/>
          <w:szCs w:val="32"/>
          <w:highlight w:val="none"/>
        </w:rPr>
        <w:t>仍无法收回本金</w:t>
      </w:r>
      <w:r>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t>后，</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可视为风险补偿项目损失发生。</w:t>
      </w:r>
    </w:p>
    <w:p>
      <w:pPr>
        <w:keepNext w:val="0"/>
        <w:keepLines w:val="0"/>
        <w:pageBreakBefore w:val="0"/>
        <w:widowControl w:val="0"/>
        <w:shd w:val="clear"/>
        <w:kinsoku/>
        <w:wordWrap/>
        <w:overflowPunct w:val="0"/>
        <w:topLinePunct w:val="0"/>
        <w:autoSpaceDE/>
        <w:autoSpaceDN/>
        <w:bidi w:val="0"/>
        <w:adjustRightInd w:val="0"/>
        <w:snapToGrid w:val="0"/>
        <w:spacing w:line="590" w:lineRule="exact"/>
        <w:ind w:left="0" w:firstLine="640" w:firstLineChars="200"/>
        <w:jc w:val="both"/>
        <w:textAlignment w:val="auto"/>
        <w:rPr>
          <w:rFonts w:hint="default"/>
          <w:highlight w:val="none"/>
          <w:lang w:val="en-US" w:eastAsia="zh-CN"/>
        </w:rPr>
      </w:pPr>
      <w:r>
        <w:rPr>
          <w:rFonts w:hint="default" w:ascii="Times New Roman" w:hAnsi="Times New Roman" w:eastAsia="仿宋_GB2312" w:cs="Times New Roman"/>
          <w:color w:val="auto"/>
          <w:kern w:val="0"/>
          <w:sz w:val="32"/>
          <w:szCs w:val="32"/>
          <w:highlight w:val="none"/>
          <w:lang w:val="en-US" w:eastAsia="zh-CN" w:bidi="ar-SA"/>
        </w:rPr>
        <w:t>风险补偿项目损失发生后，合作银行应按照业务合作协议约定向运营管理机构及其他合作方书面申请损失补偿并提供相关资料，运营管理机构及其他合作方各自独立</w:t>
      </w:r>
      <w:r>
        <w:rPr>
          <w:rFonts w:hint="eastAsia" w:ascii="Times New Roman" w:hAnsi="Times New Roman" w:eastAsia="仿宋_GB2312" w:cs="Times New Roman"/>
          <w:color w:val="auto"/>
          <w:kern w:val="0"/>
          <w:sz w:val="32"/>
          <w:szCs w:val="32"/>
          <w:highlight w:val="none"/>
          <w:lang w:val="en-US" w:eastAsia="zh-CN" w:bidi="ar-SA"/>
        </w:rPr>
        <w:t>核实资料</w:t>
      </w:r>
      <w:r>
        <w:rPr>
          <w:rFonts w:hint="default" w:ascii="Times New Roman" w:hAnsi="Times New Roman" w:eastAsia="仿宋_GB2312" w:cs="Times New Roman"/>
          <w:b w:val="0"/>
          <w:bCs w:val="0"/>
          <w:color w:val="auto"/>
          <w:kern w:val="0"/>
          <w:sz w:val="32"/>
          <w:szCs w:val="32"/>
          <w:highlight w:val="none"/>
          <w:lang w:val="en-US" w:eastAsia="zh-CN" w:bidi="ar-SA"/>
        </w:rPr>
        <w:t>，</w:t>
      </w:r>
      <w:r>
        <w:rPr>
          <w:rFonts w:hint="eastAsia" w:ascii="Times New Roman" w:hAnsi="Times New Roman" w:eastAsia="仿宋_GB2312" w:cs="Times New Roman"/>
          <w:b w:val="0"/>
          <w:bCs w:val="0"/>
          <w:color w:val="auto"/>
          <w:kern w:val="0"/>
          <w:sz w:val="32"/>
          <w:szCs w:val="32"/>
          <w:highlight w:val="none"/>
          <w:lang w:val="en-US" w:eastAsia="zh-CN" w:bidi="ar-SA"/>
        </w:rPr>
        <w:t>并依法依规按程序上报至市政府相关部门</w:t>
      </w:r>
      <w:r>
        <w:rPr>
          <w:rFonts w:hint="default" w:ascii="Times New Roman" w:hAnsi="Times New Roman" w:eastAsia="仿宋_GB2312" w:cs="Times New Roman"/>
          <w:b w:val="0"/>
          <w:bCs w:val="0"/>
          <w:color w:val="auto"/>
          <w:kern w:val="0"/>
          <w:sz w:val="32"/>
          <w:szCs w:val="32"/>
          <w:highlight w:val="none"/>
          <w:lang w:val="en-US" w:eastAsia="zh-CN" w:bidi="ar-SA"/>
        </w:rPr>
        <w:t>批准后予以划拨。</w:t>
      </w:r>
    </w:p>
    <w:p>
      <w:pPr>
        <w:keepNext w:val="0"/>
        <w:keepLines w:val="0"/>
        <w:pageBreakBefore w:val="0"/>
        <w:widowControl w:val="0"/>
        <w:shd w:val="clear"/>
        <w:kinsoku/>
        <w:wordWrap/>
        <w:overflowPunct w:val="0"/>
        <w:topLinePunct w:val="0"/>
        <w:autoSpaceDE/>
        <w:autoSpaceDN/>
        <w:bidi w:val="0"/>
        <w:adjustRightInd w:val="0"/>
        <w:snapToGrid w:val="0"/>
        <w:spacing w:line="590" w:lineRule="exact"/>
        <w:ind w:left="0" w:firstLine="642" w:firstLineChars="200"/>
        <w:jc w:val="both"/>
        <w:textAlignment w:val="auto"/>
        <w:rPr>
          <w:rFonts w:hint="default" w:ascii="Times New Roman" w:hAnsi="Times New Roman" w:eastAsia="仿宋_GB2312" w:cs="Times New Roman"/>
          <w:color w:val="auto"/>
          <w:kern w:val="0"/>
          <w:sz w:val="32"/>
          <w:szCs w:val="32"/>
          <w:highlight w:val="none"/>
          <w:lang w:val="en-US" w:eastAsia="zh-CN" w:bidi="ar-SA"/>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第十五条　</w:t>
      </w:r>
      <w:r>
        <w:rPr>
          <w:rFonts w:hint="default" w:ascii="Times New Roman" w:hAnsi="Times New Roman" w:eastAsia="仿宋_GB2312" w:cs="Times New Roman"/>
          <w:color w:val="auto"/>
          <w:kern w:val="0"/>
          <w:sz w:val="32"/>
          <w:szCs w:val="32"/>
          <w:highlight w:val="none"/>
          <w:lang w:val="en-US" w:eastAsia="zh-CN" w:bidi="ar-SA"/>
        </w:rPr>
        <w:t>对于市风险补偿资金补偿的贷款本金，运营管理机构委托合作银行代为追偿</w:t>
      </w:r>
      <w:r>
        <w:rPr>
          <w:rFonts w:hint="eastAsia" w:ascii="Times New Roman" w:hAnsi="Times New Roman" w:eastAsia="仿宋_GB2312" w:cs="Times New Roman"/>
          <w:color w:val="auto"/>
          <w:kern w:val="0"/>
          <w:sz w:val="32"/>
          <w:szCs w:val="32"/>
          <w:highlight w:val="none"/>
          <w:lang w:val="en-US" w:eastAsia="zh-CN" w:bidi="ar-SA"/>
        </w:rPr>
        <w:t>，并</w:t>
      </w:r>
      <w:r>
        <w:rPr>
          <w:rFonts w:hint="default" w:ascii="Times New Roman" w:hAnsi="Times New Roman" w:eastAsia="仿宋_GB2312" w:cs="Times New Roman"/>
          <w:color w:val="auto"/>
          <w:kern w:val="0"/>
          <w:sz w:val="32"/>
          <w:szCs w:val="32"/>
          <w:highlight w:val="none"/>
          <w:lang w:val="en-US" w:eastAsia="zh-CN" w:bidi="ar-SA"/>
        </w:rPr>
        <w:t>享有债务代为追偿权。合作的银行、融资担保机构、保险机构等应当积极行使追偿权，且必须加强逾期贷款的清收工作，减少市风险补偿资金损失。</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auto"/>
          <w:sz w:val="32"/>
          <w:szCs w:val="32"/>
          <w:highlight w:val="none"/>
          <w:lang w:val="en-US" w:eastAsia="zh-CN"/>
        </w:rPr>
        <w:t>相关</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机构依据相关法律和合同规定的追偿手续追回部分或者全部</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补偿</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款，在扣除相关的追偿费用后，应当按照市风险补偿资金和</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其他参与</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各方承担的比例</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返</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还。</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若企业破产清算，或诉讼执行终结的情况下，</w:t>
      </w:r>
      <w:r>
        <w:rPr>
          <w:rFonts w:hint="default" w:ascii="Times New Roman" w:hAnsi="Times New Roman" w:eastAsia="仿宋_GB2312" w:cs="Times New Roman"/>
          <w:b w:val="0"/>
          <w:bCs w:val="0"/>
          <w:color w:val="auto"/>
          <w:sz w:val="32"/>
          <w:szCs w:val="32"/>
          <w:highlight w:val="none"/>
        </w:rPr>
        <w:t>合作银行</w:t>
      </w:r>
      <w:r>
        <w:rPr>
          <w:rFonts w:hint="eastAsia" w:ascii="Times New Roman" w:hAnsi="Times New Roman" w:eastAsia="仿宋_GB2312" w:cs="Times New Roman"/>
          <w:b w:val="0"/>
          <w:bCs w:val="0"/>
          <w:color w:val="auto"/>
          <w:sz w:val="32"/>
          <w:szCs w:val="32"/>
          <w:highlight w:val="none"/>
          <w:lang w:val="en-US" w:eastAsia="zh-CN"/>
        </w:rPr>
        <w:t>可</w:t>
      </w:r>
      <w:r>
        <w:rPr>
          <w:rFonts w:hint="default" w:ascii="Times New Roman" w:hAnsi="Times New Roman" w:eastAsia="仿宋_GB2312" w:cs="Times New Roman"/>
          <w:b w:val="0"/>
          <w:bCs w:val="0"/>
          <w:color w:val="auto"/>
          <w:sz w:val="32"/>
          <w:szCs w:val="32"/>
          <w:highlight w:val="none"/>
        </w:rPr>
        <w:t>按照约定</w:t>
      </w:r>
      <w:r>
        <w:rPr>
          <w:rFonts w:hint="eastAsia" w:ascii="Times New Roman" w:hAnsi="Times New Roman" w:eastAsia="仿宋_GB2312" w:cs="Times New Roman"/>
          <w:b w:val="0"/>
          <w:bCs w:val="0"/>
          <w:color w:val="auto"/>
          <w:sz w:val="32"/>
          <w:szCs w:val="32"/>
          <w:highlight w:val="none"/>
          <w:lang w:val="en-US" w:eastAsia="zh-CN"/>
        </w:rPr>
        <w:t>申请</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在</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市风险补偿资金项目中结项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pPr>
        <w:keepNext w:val="0"/>
        <w:keepLines w:val="0"/>
        <w:pageBreakBefore w:val="0"/>
        <w:widowControl w:val="0"/>
        <w:shd w:val="clear"/>
        <w:kinsoku/>
        <w:wordWrap/>
        <w:overflowPunct w:val="0"/>
        <w:topLinePunct w:val="0"/>
        <w:autoSpaceDE/>
        <w:autoSpaceDN/>
        <w:bidi w:val="0"/>
        <w:adjustRightInd w:val="0"/>
        <w:snapToGrid w:val="0"/>
        <w:spacing w:line="590" w:lineRule="exact"/>
        <w:ind w:left="0" w:firstLine="642" w:firstLineChars="200"/>
        <w:jc w:val="both"/>
        <w:textAlignment w:val="auto"/>
        <w:rPr>
          <w:rFonts w:hint="default" w:ascii="Times New Roman" w:hAnsi="Times New Roman" w:eastAsia="仿宋_GB2312" w:cs="Times New Roman"/>
          <w:color w:val="auto"/>
          <w:kern w:val="0"/>
          <w:sz w:val="32"/>
          <w:szCs w:val="32"/>
          <w:highlight w:val="none"/>
          <w:lang w:val="en-US" w:eastAsia="zh-CN" w:bidi="ar-SA"/>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第十六条</w:t>
      </w:r>
      <w:r>
        <w:rPr>
          <w:rFonts w:hint="eastAsia" w:ascii="Times New Roman" w:hAnsi="Times New Roman" w:eastAsia="仿宋_GB2312" w:cs="Times New Roman"/>
          <w:color w:val="auto"/>
          <w:kern w:val="0"/>
          <w:sz w:val="32"/>
          <w:szCs w:val="32"/>
          <w:highlight w:val="none"/>
          <w:lang w:val="en-US" w:eastAsia="zh-CN" w:bidi="ar-SA"/>
        </w:rPr>
        <w:t>　</w:t>
      </w:r>
      <w:r>
        <w:rPr>
          <w:rFonts w:hint="default" w:ascii="Times New Roman" w:hAnsi="Times New Roman" w:eastAsia="仿宋_GB2312" w:cs="Times New Roman"/>
          <w:b w:val="0"/>
          <w:bCs w:val="0"/>
          <w:color w:val="auto"/>
          <w:kern w:val="0"/>
          <w:sz w:val="32"/>
          <w:szCs w:val="32"/>
          <w:highlight w:val="none"/>
          <w:lang w:val="en-US" w:eastAsia="zh-CN" w:bidi="ar-SA"/>
        </w:rPr>
        <w:t>市风险补偿资金</w:t>
      </w:r>
      <w:r>
        <w:rPr>
          <w:rFonts w:hint="eastAsia" w:ascii="Times New Roman" w:hAnsi="Times New Roman" w:eastAsia="仿宋_GB2312" w:cs="Times New Roman"/>
          <w:b w:val="0"/>
          <w:bCs w:val="0"/>
          <w:color w:val="auto"/>
          <w:kern w:val="0"/>
          <w:sz w:val="32"/>
          <w:szCs w:val="32"/>
          <w:highlight w:val="none"/>
          <w:lang w:val="en-US" w:eastAsia="zh-CN" w:bidi="ar-SA"/>
        </w:rPr>
        <w:t>补偿上限为本资金账户余额，</w:t>
      </w:r>
      <w:r>
        <w:rPr>
          <w:rFonts w:hint="default" w:ascii="Times New Roman" w:hAnsi="Times New Roman" w:eastAsia="仿宋_GB2312" w:cs="Times New Roman"/>
          <w:color w:val="auto"/>
          <w:kern w:val="0"/>
          <w:sz w:val="32"/>
          <w:szCs w:val="32"/>
          <w:highlight w:val="none"/>
          <w:lang w:val="en-US" w:eastAsia="zh-CN" w:bidi="ar-SA"/>
        </w:rPr>
        <w:t>在本办法到期并履行相关风险责任后，余额</w:t>
      </w:r>
      <w:r>
        <w:rPr>
          <w:rFonts w:hint="eastAsia" w:ascii="Times New Roman" w:hAnsi="Times New Roman" w:eastAsia="仿宋_GB2312" w:cs="Times New Roman"/>
          <w:color w:val="auto"/>
          <w:kern w:val="0"/>
          <w:sz w:val="32"/>
          <w:szCs w:val="32"/>
          <w:highlight w:val="none"/>
          <w:lang w:val="en-US" w:eastAsia="zh-CN" w:bidi="ar-SA"/>
        </w:rPr>
        <w:t>及时缴入国库</w:t>
      </w:r>
      <w:r>
        <w:rPr>
          <w:rFonts w:hint="default" w:ascii="Times New Roman" w:hAnsi="Times New Roman" w:eastAsia="仿宋_GB2312" w:cs="Times New Roman"/>
          <w:color w:val="auto"/>
          <w:kern w:val="0"/>
          <w:sz w:val="32"/>
          <w:szCs w:val="32"/>
          <w:highlight w:val="none"/>
          <w:lang w:val="en-US" w:eastAsia="zh-CN" w:bidi="ar-SA"/>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316" w:beforeLines="100" w:beforeAutospacing="0" w:after="316" w:afterLines="100" w:afterAutospacing="0" w:line="590" w:lineRule="exact"/>
        <w:ind w:left="0" w:firstLine="0" w:firstLineChars="0"/>
        <w:jc w:val="center"/>
        <w:textAlignment w:val="auto"/>
        <w:rPr>
          <w:rStyle w:val="12"/>
          <w:rFonts w:hint="eastAsia" w:ascii="黑体" w:hAnsi="黑体" w:eastAsia="黑体" w:cs="黑体"/>
          <w:b w:val="0"/>
          <w:bCs w:val="0"/>
          <w:color w:val="000000" w:themeColor="text1"/>
          <w:sz w:val="32"/>
          <w:szCs w:val="32"/>
          <w:highlight w:val="none"/>
          <w14:textFill>
            <w14:solidFill>
              <w14:schemeClr w14:val="tx1"/>
            </w14:solidFill>
          </w14:textFill>
        </w:rPr>
      </w:pPr>
      <w:r>
        <w:rPr>
          <w:rStyle w:val="12"/>
          <w:rFonts w:hint="eastAsia" w:ascii="黑体" w:hAnsi="黑体" w:eastAsia="黑体" w:cs="黑体"/>
          <w:b w:val="0"/>
          <w:bCs w:val="0"/>
          <w:color w:val="000000" w:themeColor="text1"/>
          <w:sz w:val="32"/>
          <w:szCs w:val="32"/>
          <w:highlight w:val="none"/>
          <w14:textFill>
            <w14:solidFill>
              <w14:schemeClr w14:val="tx1"/>
            </w14:solidFill>
          </w14:textFill>
        </w:rPr>
        <w:t>第四章</w:t>
      </w: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　</w:t>
      </w:r>
      <w:r>
        <w:rPr>
          <w:rStyle w:val="12"/>
          <w:rFonts w:hint="eastAsia" w:ascii="黑体" w:hAnsi="黑体" w:eastAsia="黑体" w:cs="黑体"/>
          <w:b w:val="0"/>
          <w:bCs w:val="0"/>
          <w:color w:val="000000" w:themeColor="text1"/>
          <w:sz w:val="32"/>
          <w:szCs w:val="32"/>
          <w:highlight w:val="none"/>
          <w14:textFill>
            <w14:solidFill>
              <w14:schemeClr w14:val="tx1"/>
            </w14:solidFill>
          </w14:textFill>
        </w:rPr>
        <w:t>资金监督</w:t>
      </w: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w:t>
      </w:r>
      <w:r>
        <w:rPr>
          <w:rStyle w:val="12"/>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使用</w:t>
      </w:r>
      <w:r>
        <w:rPr>
          <w:rStyle w:val="12"/>
          <w:rFonts w:hint="eastAsia" w:ascii="黑体" w:hAnsi="黑体" w:eastAsia="黑体" w:cs="黑体"/>
          <w:b w:val="0"/>
          <w:bCs w:val="0"/>
          <w:color w:val="000000" w:themeColor="text1"/>
          <w:sz w:val="32"/>
          <w:szCs w:val="32"/>
          <w:highlight w:val="none"/>
          <w14:textFill>
            <w14:solidFill>
              <w14:schemeClr w14:val="tx1"/>
            </w14:solidFill>
          </w14:textFill>
        </w:rPr>
        <w:t>与考核</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pP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十七</w:t>
      </w: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条</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市知识产权局、</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运营管理机构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、相关合作机构等各单位应建立信息沟通机制，加强监督检查，市知识产权局可委托会计师事务所、律师事务所等中介机构对</w:t>
      </w:r>
      <w:r>
        <w:rPr>
          <w:rFonts w:hint="default" w:ascii="Times New Roman" w:hAnsi="Times New Roman" w:eastAsia="仿宋_GB2312" w:cs="Times New Roman"/>
          <w:b w:val="0"/>
          <w:bCs w:val="0"/>
          <w:color w:val="auto"/>
          <w:kern w:val="0"/>
          <w:sz w:val="32"/>
          <w:szCs w:val="32"/>
          <w:highlight w:val="none"/>
          <w:lang w:val="en-US" w:eastAsia="zh-CN" w:bidi="ar-SA"/>
        </w:rPr>
        <w:t>市风险补偿</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资金使用和管理情况进行专项审计和检查</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其中</w:t>
      </w:r>
      <w:r>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t>专项审计</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可每年开展一次。</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十八</w:t>
      </w: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条</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　</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在保障</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市风险补偿资金</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的资金安全和流动性的前提下，基于保值增值之目的，运营</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管理</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机构可以在合作银行以定期存款、协定存款、通知存款、结构性存款等方式管理</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市风险补偿资金</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账户，所产生的收益以及孳息</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用于补充</w:t>
      </w:r>
      <w:r>
        <w:rPr>
          <w:rFonts w:hint="eastAsia" w:ascii="Times New Roman" w:hAnsi="Times New Roman" w:eastAsia="仿宋_GB2312" w:cs="Times New Roman"/>
          <w:b w:val="0"/>
          <w:bCs w:val="0"/>
          <w:color w:val="auto"/>
          <w:sz w:val="32"/>
          <w:szCs w:val="32"/>
          <w:highlight w:val="none"/>
          <w:lang w:val="en-US" w:eastAsia="zh-CN"/>
        </w:rPr>
        <w:t>市</w:t>
      </w:r>
      <w:r>
        <w:rPr>
          <w:rFonts w:hint="default" w:ascii="Times New Roman" w:hAnsi="Times New Roman" w:eastAsia="仿宋_GB2312" w:cs="Times New Roman"/>
          <w:b w:val="0"/>
          <w:bCs w:val="0"/>
          <w:color w:val="auto"/>
          <w:sz w:val="32"/>
          <w:szCs w:val="32"/>
          <w:highlight w:val="none"/>
          <w:lang w:val="en-US" w:eastAsia="zh-CN"/>
        </w:rPr>
        <w:t>风</w:t>
      </w:r>
      <w:r>
        <w:rPr>
          <w:rFonts w:hint="eastAsia" w:ascii="Times New Roman" w:hAnsi="Times New Roman" w:eastAsia="仿宋_GB2312" w:cs="Times New Roman"/>
          <w:b w:val="0"/>
          <w:bCs w:val="0"/>
          <w:color w:val="auto"/>
          <w:sz w:val="32"/>
          <w:szCs w:val="32"/>
          <w:highlight w:val="none"/>
          <w:lang w:val="en-US" w:eastAsia="zh-CN"/>
        </w:rPr>
        <w:t>险补偿</w:t>
      </w:r>
      <w:r>
        <w:rPr>
          <w:rFonts w:hint="default" w:ascii="Times New Roman" w:hAnsi="Times New Roman" w:eastAsia="仿宋_GB2312" w:cs="Times New Roman"/>
          <w:b w:val="0"/>
          <w:bCs w:val="0"/>
          <w:color w:val="auto"/>
          <w:sz w:val="32"/>
          <w:szCs w:val="32"/>
          <w:highlight w:val="none"/>
          <w:lang w:val="en-US" w:eastAsia="zh-CN"/>
        </w:rPr>
        <w:t>资金</w:t>
      </w:r>
      <w:r>
        <w:rPr>
          <w:rFonts w:hint="eastAsia" w:ascii="Times New Roman" w:hAnsi="Times New Roman" w:eastAsia="仿宋_GB2312" w:cs="Times New Roman"/>
          <w:b w:val="0"/>
          <w:bCs w:val="0"/>
          <w:color w:val="auto"/>
          <w:sz w:val="32"/>
          <w:szCs w:val="32"/>
          <w:highlight w:val="none"/>
          <w:lang w:val="en-US" w:eastAsia="zh-CN"/>
        </w:rPr>
        <w:t>池</w:t>
      </w:r>
      <w:r>
        <w:rPr>
          <w:rFonts w:hint="default" w:ascii="Times New Roman" w:hAnsi="Times New Roman" w:eastAsia="仿宋_GB2312" w:cs="Times New Roman"/>
          <w:b w:val="0"/>
          <w:bCs w:val="0"/>
          <w:color w:val="auto"/>
          <w:sz w:val="32"/>
          <w:szCs w:val="32"/>
          <w:highlight w:val="none"/>
          <w:lang w:val="en-US" w:eastAsia="zh-CN"/>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pP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第十</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九</w:t>
      </w: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条</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　</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市风险补偿资金运营管理费用由基本管理费和绩效管理费组成，市风险补偿资金运营管理费用在委托管理协议中明确费用计算和支付方式。</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pP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第二十条</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　市风险补偿</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资金</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相关</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运营管理费用</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（含运营机构管理费用、</w:t>
      </w:r>
      <w:r>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t>专项审计</w:t>
      </w:r>
      <w:r>
        <w:rPr>
          <w:rFonts w:hint="eastAsia"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t>、</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评估检查费用等），</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从</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市风险补偿资金</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中</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列支</w:t>
      </w:r>
      <w:r>
        <w:rPr>
          <w:rFonts w:hint="default"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第二十</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一</w:t>
      </w: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条</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对恶意到期不还款的企业，取消其申请长沙市知识产权质押融资有关补助资金的资格，通报相关政府部门，</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依法依规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列入失信记录；涉嫌犯罪的，</w:t>
      </w:r>
      <w:r>
        <w:rPr>
          <w:rFonts w:hint="default" w:ascii="Times New Roman" w:hAnsi="Times New Roman" w:eastAsia="仿宋_GB2312" w:cs="Times New Roman"/>
          <w:color w:val="auto"/>
          <w:sz w:val="32"/>
          <w:szCs w:val="32"/>
          <w:highlight w:val="none"/>
        </w:rPr>
        <w:t>依法移送</w:t>
      </w:r>
      <w:r>
        <w:rPr>
          <w:rFonts w:hint="eastAsia" w:ascii="Times New Roman" w:hAnsi="Times New Roman" w:eastAsia="仿宋_GB2312" w:cs="Times New Roman"/>
          <w:color w:val="auto"/>
          <w:sz w:val="32"/>
          <w:szCs w:val="32"/>
          <w:highlight w:val="none"/>
          <w:lang w:val="en-US" w:eastAsia="zh-CN"/>
        </w:rPr>
        <w:t>有权</w:t>
      </w:r>
      <w:r>
        <w:rPr>
          <w:rFonts w:hint="default" w:ascii="Times New Roman" w:hAnsi="Times New Roman" w:eastAsia="仿宋_GB2312" w:cs="Times New Roman"/>
          <w:color w:val="auto"/>
          <w:sz w:val="32"/>
          <w:szCs w:val="32"/>
          <w:highlight w:val="none"/>
        </w:rPr>
        <w:t>机关处理。</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第二十</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二</w:t>
      </w: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条</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　</w:t>
      </w:r>
      <w:r>
        <w:rPr>
          <w:rFonts w:hint="default" w:ascii="Times New Roman" w:hAnsi="Times New Roman" w:eastAsia="仿宋_GB2312" w:cs="Times New Roman"/>
          <w:color w:val="auto"/>
          <w:sz w:val="32"/>
          <w:szCs w:val="32"/>
          <w:highlight w:val="none"/>
          <w:lang w:val="en-US" w:eastAsia="zh-CN"/>
        </w:rPr>
        <w:t>运营管理机构</w:t>
      </w:r>
      <w:r>
        <w:rPr>
          <w:rFonts w:hint="default" w:ascii="Times New Roman" w:hAnsi="Times New Roman" w:eastAsia="仿宋_GB2312" w:cs="Times New Roman"/>
          <w:color w:val="auto"/>
          <w:sz w:val="32"/>
          <w:szCs w:val="32"/>
          <w:highlight w:val="none"/>
        </w:rPr>
        <w:t>应及时收集并整理项目资料，做好档案管理，并将合作银行业务开展情况及项目情况，定期</w:t>
      </w:r>
      <w:r>
        <w:rPr>
          <w:rFonts w:hint="eastAsia" w:ascii="Times New Roman" w:hAnsi="Times New Roman" w:eastAsia="仿宋_GB2312" w:cs="Times New Roman"/>
          <w:color w:val="auto"/>
          <w:sz w:val="32"/>
          <w:szCs w:val="32"/>
          <w:highlight w:val="none"/>
          <w:lang w:val="en-US" w:eastAsia="zh-CN"/>
        </w:rPr>
        <w:t>报送</w:t>
      </w:r>
      <w:r>
        <w:rPr>
          <w:rFonts w:hint="default" w:ascii="Times New Roman" w:hAnsi="Times New Roman" w:eastAsia="仿宋_GB2312" w:cs="Times New Roman"/>
          <w:color w:val="auto"/>
          <w:sz w:val="32"/>
          <w:szCs w:val="32"/>
          <w:highlight w:val="none"/>
        </w:rPr>
        <w:t>市知识产权</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局，接受市知识产权局的监督。</w:t>
      </w:r>
    </w:p>
    <w:p>
      <w:pPr>
        <w:keepNext w:val="0"/>
        <w:keepLines w:val="0"/>
        <w:pageBreakBefore w:val="0"/>
        <w:widowControl w:val="0"/>
        <w:shd w:val="clear"/>
        <w:kinsoku/>
        <w:wordWrap/>
        <w:overflowPunct w:val="0"/>
        <w:topLinePunct w:val="0"/>
        <w:autoSpaceDE/>
        <w:autoSpaceDN/>
        <w:bidi w:val="0"/>
        <w:adjustRightInd w:val="0"/>
        <w:snapToGrid w:val="0"/>
        <w:spacing w:line="590" w:lineRule="exact"/>
        <w:ind w:left="0" w:firstLine="642" w:firstLineChars="200"/>
        <w:jc w:val="both"/>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第二十</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三</w:t>
      </w: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条</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　</w:t>
      </w:r>
      <w:r>
        <w:rPr>
          <w:rFonts w:hint="default" w:ascii="Times New Roman" w:hAnsi="Times New Roman" w:eastAsia="仿宋_GB2312" w:cs="Times New Roman"/>
          <w:color w:val="auto"/>
          <w:kern w:val="0"/>
          <w:sz w:val="32"/>
          <w:szCs w:val="32"/>
          <w:highlight w:val="none"/>
          <w:lang w:val="en-US" w:eastAsia="zh-CN" w:bidi="ar-SA"/>
        </w:rPr>
        <w:t>合作银行应于每季度初前10个工作日内向运营管理机构报送上季度</w:t>
      </w:r>
      <w:r>
        <w:rPr>
          <w:rFonts w:hint="eastAsia" w:ascii="Times New Roman" w:hAnsi="Times New Roman" w:eastAsia="仿宋_GB2312" w:cs="Times New Roman"/>
          <w:color w:val="auto"/>
          <w:kern w:val="0"/>
          <w:sz w:val="32"/>
          <w:szCs w:val="32"/>
          <w:highlight w:val="none"/>
          <w:lang w:val="en-US" w:eastAsia="zh-CN" w:bidi="ar-SA"/>
        </w:rPr>
        <w:t>市风险补偿资金</w:t>
      </w:r>
      <w:r>
        <w:rPr>
          <w:rFonts w:hint="default" w:ascii="Times New Roman" w:hAnsi="Times New Roman" w:eastAsia="仿宋_GB2312" w:cs="Times New Roman"/>
          <w:color w:val="auto"/>
          <w:kern w:val="0"/>
          <w:sz w:val="32"/>
          <w:szCs w:val="32"/>
          <w:highlight w:val="none"/>
          <w:lang w:val="en-US" w:eastAsia="zh-CN" w:bidi="ar-SA"/>
        </w:rPr>
        <w:t>信贷投放、管理以及债务追偿等情况。</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auto"/>
          <w:sz w:val="32"/>
          <w:szCs w:val="32"/>
          <w:highlight w:val="none"/>
          <w:lang w:val="en-US" w:eastAsia="zh-CN"/>
        </w:rPr>
        <w:t>运营管理机构</w:t>
      </w:r>
      <w:r>
        <w:rPr>
          <w:rFonts w:hint="default" w:ascii="Times New Roman" w:hAnsi="Times New Roman" w:eastAsia="仿宋_GB2312" w:cs="Times New Roman"/>
          <w:color w:val="auto"/>
          <w:sz w:val="32"/>
          <w:szCs w:val="32"/>
          <w:highlight w:val="none"/>
        </w:rPr>
        <w:t>对合作银行</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知识产权质押贷款产品创新、贷款授信额度、获贷企业比例、贷款效率、信用贷款方式占比、工作成效等每年进行绩效评价和考核。</w:t>
      </w:r>
    </w:p>
    <w:p>
      <w:pPr>
        <w:pStyle w:val="7"/>
        <w:keepNext w:val="0"/>
        <w:keepLines w:val="0"/>
        <w:pageBreakBefore w:val="0"/>
        <w:widowControl w:val="0"/>
        <w:numPr>
          <w:ilvl w:val="0"/>
          <w:numId w:val="0"/>
        </w:numPr>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第二十四条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市知识产权局、市财政局对市风险补偿资金运营情况进行不定期监督检查。</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316" w:beforeLines="100" w:beforeAutospacing="0" w:after="316" w:afterLines="100" w:afterAutospacing="0" w:line="590" w:lineRule="exact"/>
        <w:ind w:left="0" w:firstLine="0" w:firstLineChars="0"/>
        <w:jc w:val="center"/>
        <w:textAlignment w:val="auto"/>
        <w:rPr>
          <w:rStyle w:val="12"/>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pP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第五章</w:t>
      </w:r>
      <w:r>
        <w:rPr>
          <w:rStyle w:val="12"/>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　资金的解散与清算</w:t>
      </w:r>
    </w:p>
    <w:p>
      <w:pPr>
        <w:pStyle w:val="7"/>
        <w:keepNext w:val="0"/>
        <w:keepLines w:val="0"/>
        <w:pageBreakBefore w:val="0"/>
        <w:widowControl w:val="0"/>
        <w:numPr>
          <w:ilvl w:val="0"/>
          <w:numId w:val="0"/>
        </w:numPr>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第二十五条　</w:t>
      </w:r>
      <w:r>
        <w:rPr>
          <w:rFonts w:hint="default" w:ascii="Times New Roman" w:hAnsi="Times New Roman" w:eastAsia="仿宋_GB2312" w:cs="Times New Roman"/>
          <w:b w:val="0"/>
          <w:bCs w:val="0"/>
          <w:color w:val="000000" w:themeColor="text1"/>
          <w:sz w:val="32"/>
          <w:szCs w:val="32"/>
          <w:highlight w:val="none"/>
          <w14:textFill>
            <w14:solidFill>
              <w14:schemeClr w14:val="tx1"/>
            </w14:solidFill>
          </w14:textFill>
        </w:rPr>
        <w:t>市风险补偿资金</w:t>
      </w:r>
      <w:r>
        <w:rPr>
          <w:rFonts w:hint="eastAsia" w:ascii="Times New Roman" w:hAnsi="Times New Roman" w:eastAsia="仿宋_GB2312" w:cs="Times New Roman"/>
          <w:b w:val="0"/>
          <w:bCs w:val="0"/>
          <w:color w:val="000000" w:themeColor="text1"/>
          <w:sz w:val="32"/>
          <w:szCs w:val="32"/>
          <w:highlight w:val="none"/>
          <w:lang w:val="en-US" w:eastAsia="zh-CN"/>
          <w14:textFill>
            <w14:solidFill>
              <w14:schemeClr w14:val="tx1"/>
            </w14:solidFill>
          </w14:textFill>
        </w:rPr>
        <w:t>项下贷款在合作银行债务全部清偿后，在市知识产权局、市财政局指导下依法进行清算。</w:t>
      </w:r>
    </w:p>
    <w:p>
      <w:pPr>
        <w:keepNext w:val="0"/>
        <w:keepLines w:val="0"/>
        <w:pageBreakBefore w:val="0"/>
        <w:widowControl w:val="0"/>
        <w:shd w:val="clear"/>
        <w:kinsoku/>
        <w:wordWrap/>
        <w:overflowPunct w:val="0"/>
        <w:topLinePunct w:val="0"/>
        <w:autoSpaceDE/>
        <w:autoSpaceDN/>
        <w:bidi w:val="0"/>
        <w:adjustRightInd w:val="0"/>
        <w:snapToGrid w:val="0"/>
        <w:spacing w:line="590" w:lineRule="exact"/>
        <w:ind w:left="0" w:firstLine="642" w:firstLineChars="200"/>
        <w:jc w:val="both"/>
        <w:textAlignment w:val="auto"/>
        <w:rPr>
          <w:rFonts w:hint="eastAsia" w:ascii="Times New Roman" w:hAnsi="Times New Roman" w:eastAsia="仿宋_GB2312" w:cs="Times New Roman"/>
          <w:b w:val="0"/>
          <w:bCs w:val="0"/>
          <w:color w:val="000000" w:themeColor="text1"/>
          <w:kern w:val="0"/>
          <w:sz w:val="32"/>
          <w:szCs w:val="32"/>
          <w:highlight w:val="none"/>
          <w:lang w:val="en-US" w:eastAsia="zh-CN" w:bidi="ar-SA"/>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第二十六条</w:t>
      </w:r>
      <w:r>
        <w:rPr>
          <w:rFonts w:hint="eastAsia" w:ascii="Times New Roman" w:hAnsi="Times New Roman" w:eastAsia="仿宋_GB2312" w:cs="Times New Roman"/>
          <w:b w:val="0"/>
          <w:bCs w:val="0"/>
          <w:color w:val="000000" w:themeColor="text1"/>
          <w:kern w:val="0"/>
          <w:sz w:val="32"/>
          <w:szCs w:val="32"/>
          <w:highlight w:val="none"/>
          <w:lang w:val="en-US" w:eastAsia="zh-CN" w:bidi="ar-SA"/>
          <w14:textFill>
            <w14:solidFill>
              <w14:schemeClr w14:val="tx1"/>
            </w14:solidFill>
          </w14:textFill>
        </w:rPr>
        <w:t>　</w:t>
      </w:r>
      <w:r>
        <w:rPr>
          <w:rFonts w:hint="default" w:ascii="Times New Roman" w:hAnsi="Times New Roman" w:eastAsia="仿宋_GB2312" w:cs="Times New Roman"/>
          <w:b w:val="0"/>
          <w:bCs w:val="0"/>
          <w:color w:val="000000" w:themeColor="text1"/>
          <w:kern w:val="0"/>
          <w:sz w:val="32"/>
          <w:szCs w:val="32"/>
          <w:highlight w:val="none"/>
          <w:lang w:val="en-US" w:eastAsia="zh-CN" w:bidi="ar-SA"/>
          <w14:textFill>
            <w14:solidFill>
              <w14:schemeClr w14:val="tx1"/>
            </w14:solidFill>
          </w14:textFill>
        </w:rPr>
        <w:t>市风险补偿资金存续期届满或与合作银行签订的合作协议终止后，市风险补偿资金项下未结清业务按本办法规定执行。</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316" w:beforeLines="100" w:beforeAutospacing="0" w:after="316" w:afterLines="100" w:afterAutospacing="0" w:line="590" w:lineRule="exact"/>
        <w:ind w:left="0" w:firstLine="0" w:firstLineChars="0"/>
        <w:jc w:val="center"/>
        <w:textAlignment w:val="auto"/>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pP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第</w:t>
      </w:r>
      <w:r>
        <w:rPr>
          <w:rStyle w:val="12"/>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六</w:t>
      </w: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章</w:t>
      </w:r>
      <w:r>
        <w:rPr>
          <w:rStyle w:val="12"/>
          <w:rFonts w:hint="eastAsia" w:ascii="黑体" w:hAnsi="黑体" w:eastAsia="黑体" w:cs="黑体"/>
          <w:b w:val="0"/>
          <w:bCs w:val="0"/>
          <w:color w:val="000000" w:themeColor="text1"/>
          <w:sz w:val="32"/>
          <w:szCs w:val="32"/>
          <w:highlight w:val="none"/>
          <w:lang w:val="en-US" w:eastAsia="zh-CN"/>
          <w14:textFill>
            <w14:solidFill>
              <w14:schemeClr w14:val="tx1"/>
            </w14:solidFill>
          </w14:textFill>
        </w:rPr>
        <w:t>　</w:t>
      </w:r>
      <w:r>
        <w:rPr>
          <w:rStyle w:val="12"/>
          <w:rFonts w:hint="eastAsia" w:ascii="黑体" w:hAnsi="黑体" w:eastAsia="黑体" w:cs="黑体"/>
          <w:b w:val="0"/>
          <w:bCs w:val="0"/>
          <w:color w:val="000000" w:themeColor="text1"/>
          <w:sz w:val="32"/>
          <w:szCs w:val="32"/>
          <w:highlight w:val="none"/>
          <w:lang w:eastAsia="zh-CN"/>
          <w14:textFill>
            <w14:solidFill>
              <w14:schemeClr w14:val="tx1"/>
            </w14:solidFill>
          </w14:textFill>
        </w:rPr>
        <w:t>附　则</w:t>
      </w:r>
    </w:p>
    <w:p>
      <w:pPr>
        <w:pStyle w:val="7"/>
        <w:keepNext w:val="0"/>
        <w:keepLines w:val="0"/>
        <w:pageBreakBefore w:val="0"/>
        <w:widowControl w:val="0"/>
        <w:shd w:val="clear" w:color="auto"/>
        <w:kinsoku/>
        <w:wordWrap/>
        <w:overflowPunct w:val="0"/>
        <w:topLinePunct w:val="0"/>
        <w:autoSpaceDE/>
        <w:autoSpaceDN/>
        <w:bidi w:val="0"/>
        <w:adjustRightInd w:val="0"/>
        <w:snapToGrid w:val="0"/>
        <w:spacing w:before="0" w:beforeAutospacing="0" w:after="0" w:afterAutospacing="0" w:line="590" w:lineRule="exact"/>
        <w:ind w:left="0" w:firstLine="642"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第二十七条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本办法由市知识产权局、市财政局负责解释。</w:t>
      </w:r>
    </w:p>
    <w:p>
      <w:pPr>
        <w:keepNext w:val="0"/>
        <w:keepLines w:val="0"/>
        <w:pageBreakBefore w:val="0"/>
        <w:widowControl w:val="0"/>
        <w:shd w:val="clear"/>
        <w:kinsoku/>
        <w:wordWrap/>
        <w:overflowPunct w:val="0"/>
        <w:topLinePunct w:val="0"/>
        <w:autoSpaceDE/>
        <w:autoSpaceDN/>
        <w:bidi w:val="0"/>
        <w:adjustRightInd w:val="0"/>
        <w:snapToGrid w:val="0"/>
        <w:spacing w:line="590" w:lineRule="exact"/>
        <w:ind w:left="0" w:firstLine="642"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第</w:t>
      </w:r>
      <w:r>
        <w:rPr>
          <w:rFonts w:hint="eastAsia"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二十八</w:t>
      </w:r>
      <w:r>
        <w:rPr>
          <w:rFonts w:hint="default" w:ascii="华文楷体" w:hAnsi="华文楷体" w:eastAsia="楷体_GB2312" w:cs="华文楷体"/>
          <w:b/>
          <w:bCs/>
          <w:color w:val="000000" w:themeColor="text1"/>
          <w:kern w:val="0"/>
          <w:sz w:val="32"/>
          <w:szCs w:val="32"/>
          <w:highlight w:val="none"/>
          <w:lang w:val="en-US" w:eastAsia="zh-CN" w:bidi="ar-SA"/>
          <w14:textFill>
            <w14:solidFill>
              <w14:schemeClr w14:val="tx1"/>
            </w14:solidFill>
          </w14:textFill>
        </w:rPr>
        <w:t>条</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　</w:t>
      </w:r>
      <w:r>
        <w:rPr>
          <w:rFonts w:hint="default" w:ascii="Times New Roman" w:hAnsi="Times New Roman" w:eastAsia="仿宋_GB2312" w:cs="Times New Roman"/>
          <w:color w:val="000000" w:themeColor="text1"/>
          <w:spacing w:val="-9"/>
          <w:sz w:val="32"/>
          <w:szCs w:val="32"/>
          <w:highlight w:val="none"/>
          <w14:textFill>
            <w14:solidFill>
              <w14:schemeClr w14:val="tx1"/>
            </w14:solidFill>
          </w14:textFill>
        </w:rPr>
        <w:t>本办法</w:t>
      </w:r>
      <w:r>
        <w:rPr>
          <w:rFonts w:hint="default" w:ascii="Times New Roman" w:hAnsi="Times New Roman" w:eastAsia="仿宋_GB2312" w:cs="Times New Roman"/>
          <w:color w:val="auto"/>
          <w:spacing w:val="-9"/>
          <w:sz w:val="32"/>
          <w:szCs w:val="32"/>
          <w:highlight w:val="none"/>
        </w:rPr>
        <w:t>自</w:t>
      </w:r>
      <w:r>
        <w:rPr>
          <w:rFonts w:hint="default" w:ascii="Times New Roman" w:hAnsi="Times New Roman" w:eastAsia="仿宋_GB2312" w:cs="Times New Roman"/>
          <w:color w:val="auto"/>
          <w:spacing w:val="-9"/>
          <w:sz w:val="32"/>
          <w:szCs w:val="32"/>
          <w:highlight w:val="none"/>
          <w:lang w:val="en-US" w:eastAsia="zh-CN"/>
        </w:rPr>
        <w:t>202</w:t>
      </w:r>
      <w:r>
        <w:rPr>
          <w:rFonts w:hint="eastAsia" w:ascii="Times New Roman" w:hAnsi="Times New Roman" w:eastAsia="仿宋_GB2312" w:cs="Times New Roman"/>
          <w:color w:val="auto"/>
          <w:spacing w:val="-9"/>
          <w:sz w:val="32"/>
          <w:szCs w:val="32"/>
          <w:highlight w:val="none"/>
          <w:lang w:val="en-US" w:eastAsia="zh-CN"/>
        </w:rPr>
        <w:t>6</w:t>
      </w:r>
      <w:r>
        <w:rPr>
          <w:rFonts w:hint="default" w:ascii="Times New Roman" w:hAnsi="Times New Roman" w:eastAsia="仿宋_GB2312" w:cs="Times New Roman"/>
          <w:color w:val="auto"/>
          <w:spacing w:val="-9"/>
          <w:sz w:val="32"/>
          <w:szCs w:val="32"/>
          <w:highlight w:val="none"/>
        </w:rPr>
        <w:t>年</w:t>
      </w:r>
      <w:r>
        <w:rPr>
          <w:rFonts w:hint="eastAsia" w:ascii="Times New Roman" w:hAnsi="Times New Roman" w:eastAsia="仿宋_GB2312" w:cs="Times New Roman"/>
          <w:color w:val="auto"/>
          <w:spacing w:val="-9"/>
          <w:sz w:val="32"/>
          <w:szCs w:val="32"/>
          <w:highlight w:val="none"/>
          <w:lang w:val="en-US" w:eastAsia="zh-CN"/>
        </w:rPr>
        <w:t>3</w:t>
      </w:r>
      <w:r>
        <w:rPr>
          <w:rFonts w:hint="default" w:ascii="Times New Roman" w:hAnsi="Times New Roman" w:eastAsia="仿宋_GB2312" w:cs="Times New Roman"/>
          <w:color w:val="auto"/>
          <w:spacing w:val="-9"/>
          <w:sz w:val="32"/>
          <w:szCs w:val="32"/>
          <w:highlight w:val="none"/>
        </w:rPr>
        <w:t>月</w:t>
      </w:r>
      <w:r>
        <w:rPr>
          <w:rFonts w:hint="eastAsia" w:ascii="Times New Roman" w:hAnsi="Times New Roman" w:eastAsia="仿宋_GB2312" w:cs="Times New Roman"/>
          <w:color w:val="auto"/>
          <w:spacing w:val="-9"/>
          <w:sz w:val="32"/>
          <w:szCs w:val="32"/>
          <w:highlight w:val="none"/>
          <w:lang w:val="en-US" w:eastAsia="zh-CN"/>
        </w:rPr>
        <w:t>1</w:t>
      </w:r>
      <w:r>
        <w:rPr>
          <w:rFonts w:hint="default" w:ascii="Times New Roman" w:hAnsi="Times New Roman" w:eastAsia="仿宋_GB2312" w:cs="Times New Roman"/>
          <w:color w:val="000000" w:themeColor="text1"/>
          <w:spacing w:val="-9"/>
          <w:sz w:val="32"/>
          <w:szCs w:val="32"/>
          <w:highlight w:val="none"/>
          <w14:textFill>
            <w14:solidFill>
              <w14:schemeClr w14:val="tx1"/>
            </w14:solidFill>
          </w14:textFill>
        </w:rPr>
        <w:t>日起施行</w:t>
      </w:r>
      <w:r>
        <w:rPr>
          <w:rFonts w:hint="default" w:ascii="Times New Roman" w:hAnsi="Times New Roman" w:eastAsia="仿宋_GB2312" w:cs="Times New Roman"/>
          <w:color w:val="auto"/>
          <w:spacing w:val="-9"/>
          <w:sz w:val="32"/>
          <w:szCs w:val="32"/>
          <w:highlight w:val="none"/>
          <w:lang w:eastAsia="zh-CN"/>
        </w:rPr>
        <w:t>，</w:t>
      </w:r>
      <w:r>
        <w:rPr>
          <w:rFonts w:hint="default" w:ascii="Times New Roman" w:hAnsi="Times New Roman" w:eastAsia="仿宋_GB2312" w:cs="Times New Roman"/>
          <w:b w:val="0"/>
          <w:bCs w:val="0"/>
          <w:color w:val="auto"/>
          <w:spacing w:val="-9"/>
          <w:sz w:val="32"/>
          <w:szCs w:val="32"/>
          <w:highlight w:val="none"/>
          <w:lang w:eastAsia="zh-CN"/>
        </w:rPr>
        <w:t>有效期</w:t>
      </w:r>
      <w:r>
        <w:rPr>
          <w:rFonts w:hint="default" w:ascii="Times New Roman" w:hAnsi="Times New Roman" w:eastAsia="仿宋_GB2312" w:cs="Times New Roman"/>
          <w:b w:val="0"/>
          <w:bCs w:val="0"/>
          <w:color w:val="auto"/>
          <w:spacing w:val="-9"/>
          <w:sz w:val="32"/>
          <w:szCs w:val="32"/>
          <w:highlight w:val="none"/>
          <w:lang w:val="en-US" w:eastAsia="zh-CN"/>
        </w:rPr>
        <w:t>5年</w:t>
      </w:r>
      <w:r>
        <w:rPr>
          <w:rFonts w:hint="default" w:ascii="Times New Roman" w:hAnsi="Times New Roman" w:eastAsia="仿宋_GB2312" w:cs="Times New Roman"/>
          <w:color w:val="000000" w:themeColor="text1"/>
          <w:spacing w:val="-9"/>
          <w:sz w:val="32"/>
          <w:szCs w:val="32"/>
          <w:highlight w:val="none"/>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val="0"/>
        <w:snapToGrid w:val="0"/>
        <w:spacing w:line="560" w:lineRule="exact"/>
        <w:ind w:firstLine="420" w:firstLineChars="200"/>
        <w:jc w:val="both"/>
        <w:textAlignment w:val="auto"/>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ascii="仿宋_GB2312" w:hAnsi="仿宋_GB2312" w:eastAsia="仿宋_GB2312" w:cs="仿宋_GB2312"/>
          <w:highlight w:val="none"/>
          <w:lang w:val="en-US" w:eastAsia="zh-CN"/>
        </w:rPr>
      </w:pPr>
    </w:p>
    <w:p>
      <w:pPr>
        <w:rPr>
          <w:rFonts w:hint="eastAsia" w:ascii="仿宋_GB2312" w:hAnsi="仿宋_GB2312" w:eastAsia="仿宋_GB2312" w:cs="仿宋_GB2312"/>
          <w:highlight w:val="none"/>
          <w:lang w:val="en-US" w:eastAsia="zh-CN"/>
        </w:rPr>
      </w:pPr>
    </w:p>
    <w:p>
      <w:pPr>
        <w:pStyle w:val="2"/>
        <w:rPr>
          <w:rFonts w:hint="eastAsia"/>
          <w:lang w:val="en-US" w:eastAsia="zh-CN"/>
        </w:rPr>
      </w:pPr>
    </w:p>
    <w:p>
      <w:pPr>
        <w:rPr>
          <w:rFonts w:hint="eastAsia" w:ascii="仿宋_GB2312" w:hAnsi="仿宋_GB2312" w:eastAsia="仿宋_GB2312" w:cs="仿宋_GB2312"/>
          <w:highlight w:val="none"/>
          <w:lang w:val="en-US" w:eastAsia="zh-CN"/>
        </w:rPr>
      </w:pPr>
    </w:p>
    <w:tbl>
      <w:tblPr>
        <w:tblStyle w:val="10"/>
        <w:tblW w:w="9004"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9004"/>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0" w:hRule="atLeast"/>
          <w:jc w:val="center"/>
        </w:trPr>
        <w:tc>
          <w:tcPr>
            <w:tcW w:w="9004" w:type="dxa"/>
            <w:tcBorders>
              <w:tl2br w:val="nil"/>
              <w:tr2bl w:val="nil"/>
            </w:tcBorders>
            <w:vAlign w:val="top"/>
          </w:tcPr>
          <w:p>
            <w:pPr>
              <w:keepNext w:val="0"/>
              <w:keepLines w:val="0"/>
              <w:pageBreakBefore w:val="0"/>
              <w:widowControl w:val="0"/>
              <w:tabs>
                <w:tab w:val="left" w:pos="818"/>
              </w:tabs>
              <w:kinsoku/>
              <w:wordWrap/>
              <w:overflowPunct w:val="0"/>
              <w:topLinePunct w:val="0"/>
              <w:autoSpaceDE/>
              <w:autoSpaceDN/>
              <w:bidi w:val="0"/>
              <w:textAlignment w:val="auto"/>
              <w:rPr>
                <w:rFonts w:hint="default" w:ascii="Times New Roman" w:hAnsi="Times New Roman" w:eastAsia="仿宋_GB2312" w:cs="Times New Roman"/>
                <w:color w:val="000000" w:themeColor="text1"/>
                <w:spacing w:val="0"/>
                <w:sz w:val="32"/>
                <w:szCs w:val="32"/>
                <w:vertAlign w:val="baseline"/>
                <w14:textFill>
                  <w14:solidFill>
                    <w14:schemeClr w14:val="tx1"/>
                  </w14:solidFill>
                </w14:textFill>
              </w:rPr>
            </w:pPr>
            <w:r>
              <w:rPr>
                <w:rFonts w:hint="default" w:ascii="Times New Roman" w:hAnsi="Times New Roman" w:eastAsia="仿宋_GB2312" w:cs="Times New Roman"/>
                <w:color w:val="000000" w:themeColor="text1"/>
                <w:spacing w:val="0"/>
                <w:sz w:val="28"/>
                <w:szCs w:val="28"/>
                <w14:textFill>
                  <w14:solidFill>
                    <w14:schemeClr w14:val="tx1"/>
                  </w14:solidFill>
                </w14:textFill>
              </w:rPr>
              <w:t>长沙市知识产权局办公室</w:t>
            </w:r>
            <w:r>
              <w:rPr>
                <w:rFonts w:hint="default" w:ascii="Times New Roman" w:hAnsi="Times New Roman" w:eastAsia="仿宋_GB2312" w:cs="Times New Roman"/>
                <w:color w:val="000000" w:themeColor="text1"/>
                <w:spacing w:val="0"/>
                <w:sz w:val="28"/>
                <w:szCs w:val="28"/>
                <w:lang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sz w:val="28"/>
                <w:szCs w:val="28"/>
                <w14:textFill>
                  <w14:solidFill>
                    <w14:schemeClr w14:val="tx1"/>
                  </w14:solidFill>
                </w14:textFill>
              </w:rPr>
              <w:t>　　</w:t>
            </w:r>
            <w:r>
              <w:rPr>
                <w:rFonts w:hint="default" w:ascii="Times New Roman" w:hAnsi="Times New Roman" w:eastAsia="仿宋_GB2312" w:cs="Times New Roman"/>
                <w:color w:val="000000" w:themeColor="text1"/>
                <w:spacing w:val="0"/>
                <w:sz w:val="28"/>
                <w:szCs w:val="28"/>
                <w:lang w:eastAsia="zh-CN"/>
                <w14:textFill>
                  <w14:solidFill>
                    <w14:schemeClr w14:val="tx1"/>
                  </w14:solidFill>
                </w14:textFill>
              </w:rPr>
              <w:t>　</w:t>
            </w:r>
            <w:r>
              <w:rPr>
                <w:rFonts w:hint="default" w:ascii="Times New Roman" w:hAnsi="Times New Roman" w:eastAsia="仿宋_GB2312" w:cs="Times New Roman"/>
                <w:color w:val="000000" w:themeColor="text1"/>
                <w:spacing w:val="0"/>
                <w:sz w:val="28"/>
                <w:szCs w:val="28"/>
                <w:lang w:val="en-US" w:eastAsia="zh-CN"/>
                <w14:textFill>
                  <w14:solidFill>
                    <w14:schemeClr w14:val="tx1"/>
                  </w14:solidFill>
                </w14:textFill>
              </w:rPr>
              <w:t>　　　　</w:t>
            </w:r>
            <w:r>
              <w:rPr>
                <w:rFonts w:hint="default" w:ascii="Times New Roman" w:hAnsi="Times New Roman" w:eastAsia="仿宋_GB2312" w:cs="Times New Roman"/>
                <w:color w:val="000000" w:themeColor="text1"/>
                <w:spacing w:val="0"/>
                <w:sz w:val="28"/>
                <w:szCs w:val="28"/>
                <w:highlight w:val="none"/>
                <w:lang w:val="en-US" w:eastAsia="zh-CN"/>
                <w14:textFill>
                  <w14:solidFill>
                    <w14:schemeClr w14:val="tx1"/>
                  </w14:solidFill>
                </w14:textFill>
              </w:rPr>
              <w:t>　</w:t>
            </w:r>
            <w:r>
              <w:rPr>
                <w:rFonts w:hint="default" w:ascii="Times New Roman" w:hAnsi="Times New Roman" w:eastAsia="仿宋_GB2312" w:cs="Times New Roman"/>
                <w:color w:val="000000" w:themeColor="text1"/>
                <w:spacing w:val="0"/>
                <w:sz w:val="28"/>
                <w:szCs w:val="28"/>
                <w:highlight w:val="none"/>
                <w14:textFill>
                  <w14:solidFill>
                    <w14:schemeClr w14:val="tx1"/>
                  </w14:solidFill>
                </w14:textFill>
              </w:rPr>
              <w:t>202</w:t>
            </w:r>
            <w:r>
              <w:rPr>
                <w:rFonts w:hint="eastAsia" w:ascii="Times New Roman" w:hAnsi="Times New Roman" w:eastAsia="仿宋_GB2312" w:cs="Times New Roman"/>
                <w:color w:val="000000" w:themeColor="text1"/>
                <w:spacing w:val="0"/>
                <w:sz w:val="28"/>
                <w:szCs w:val="28"/>
                <w:highlight w:val="none"/>
                <w:lang w:val="en-US" w:eastAsia="zh-CN"/>
                <w14:textFill>
                  <w14:solidFill>
                    <w14:schemeClr w14:val="tx1"/>
                  </w14:solidFill>
                </w14:textFill>
              </w:rPr>
              <w:t>5</w:t>
            </w:r>
            <w:r>
              <w:rPr>
                <w:rFonts w:hint="default" w:ascii="Times New Roman" w:hAnsi="Times New Roman" w:eastAsia="仿宋_GB2312" w:cs="Times New Roman"/>
                <w:color w:val="000000" w:themeColor="text1"/>
                <w:spacing w:val="0"/>
                <w:sz w:val="28"/>
                <w:szCs w:val="28"/>
                <w:highlight w:val="none"/>
                <w14:textFill>
                  <w14:solidFill>
                    <w14:schemeClr w14:val="tx1"/>
                  </w14:solidFill>
                </w14:textFill>
              </w:rPr>
              <w:t>年</w:t>
            </w:r>
            <w:r>
              <w:rPr>
                <w:rFonts w:hint="eastAsia" w:ascii="Times New Roman" w:hAnsi="Times New Roman" w:eastAsia="仿宋_GB2312" w:cs="Times New Roman"/>
                <w:color w:val="000000" w:themeColor="text1"/>
                <w:spacing w:val="0"/>
                <w:sz w:val="28"/>
                <w:szCs w:val="28"/>
                <w:highlight w:val="none"/>
                <w:lang w:val="en-US" w:eastAsia="zh-CN"/>
                <w14:textFill>
                  <w14:solidFill>
                    <w14:schemeClr w14:val="tx1"/>
                  </w14:solidFill>
                </w14:textFill>
              </w:rPr>
              <w:t>12</w:t>
            </w:r>
            <w:r>
              <w:rPr>
                <w:rFonts w:hint="default" w:ascii="Times New Roman" w:hAnsi="Times New Roman" w:eastAsia="仿宋_GB2312" w:cs="Times New Roman"/>
                <w:color w:val="000000" w:themeColor="text1"/>
                <w:spacing w:val="0"/>
                <w:sz w:val="28"/>
                <w:szCs w:val="28"/>
                <w:highlight w:val="none"/>
                <w14:textFill>
                  <w14:solidFill>
                    <w14:schemeClr w14:val="tx1"/>
                  </w14:solidFill>
                </w14:textFill>
              </w:rPr>
              <w:t>月</w:t>
            </w:r>
            <w:r>
              <w:rPr>
                <w:rFonts w:hint="eastAsia" w:ascii="Times New Roman" w:hAnsi="Times New Roman" w:eastAsia="仿宋_GB2312" w:cs="Times New Roman"/>
                <w:color w:val="000000" w:themeColor="text1"/>
                <w:spacing w:val="0"/>
                <w:sz w:val="28"/>
                <w:szCs w:val="28"/>
                <w:highlight w:val="none"/>
                <w:lang w:val="en-US" w:eastAsia="zh-CN"/>
                <w14:textFill>
                  <w14:solidFill>
                    <w14:schemeClr w14:val="tx1"/>
                  </w14:solidFill>
                </w14:textFill>
              </w:rPr>
              <w:t>31</w:t>
            </w:r>
            <w:r>
              <w:rPr>
                <w:rFonts w:hint="default" w:ascii="Times New Roman" w:hAnsi="Times New Roman" w:eastAsia="仿宋_GB2312" w:cs="Times New Roman"/>
                <w:color w:val="000000" w:themeColor="text1"/>
                <w:spacing w:val="0"/>
                <w:sz w:val="28"/>
                <w:szCs w:val="28"/>
                <w:highlight w:val="none"/>
                <w14:textFill>
                  <w14:solidFill>
                    <w14:schemeClr w14:val="tx1"/>
                  </w14:solidFill>
                </w14:textFill>
              </w:rPr>
              <w:t>日印发</w:t>
            </w:r>
          </w:p>
        </w:tc>
      </w:tr>
    </w:tbl>
    <w:p>
      <w:pPr>
        <w:pStyle w:val="2"/>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lang w:val="en-US" w:eastAsia="zh-CN"/>
        </w:rPr>
      </w:pPr>
    </w:p>
    <w:sectPr>
      <w:pgSz w:w="11906" w:h="16838"/>
      <w:pgMar w:top="1701" w:right="1559" w:bottom="1440" w:left="1559" w:header="851" w:footer="992"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auto"/>
    <w:pitch w:val="default"/>
    <w:sig w:usb0="00000000" w:usb1="00000000" w:usb2="02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true"/>
  <w:embedTrueTypeFonts/>
  <w:saveSubsetFonts/>
  <w:bordersDoNotSurroundHeader w:val="false"/>
  <w:bordersDoNotSurroundFooter w:val="false"/>
  <w:documentProtection w:enforcement="0"/>
  <w:defaultTabStop w:val="420"/>
  <w:hyphenationZone w:val="360"/>
  <w:drawingGridVerticalSpacing w:val="158"/>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7F7564"/>
    <w:rsid w:val="00AA319F"/>
    <w:rsid w:val="02A77DB5"/>
    <w:rsid w:val="07C90E0F"/>
    <w:rsid w:val="095A52DF"/>
    <w:rsid w:val="0EFFC533"/>
    <w:rsid w:val="0F5317AC"/>
    <w:rsid w:val="15722EBE"/>
    <w:rsid w:val="16863208"/>
    <w:rsid w:val="17BF3C9A"/>
    <w:rsid w:val="17FDEE5E"/>
    <w:rsid w:val="19311EEC"/>
    <w:rsid w:val="1AE04735"/>
    <w:rsid w:val="1B4951D2"/>
    <w:rsid w:val="1B705779"/>
    <w:rsid w:val="1C1921C8"/>
    <w:rsid w:val="1DFF76B4"/>
    <w:rsid w:val="1FB921CC"/>
    <w:rsid w:val="1FBB99FA"/>
    <w:rsid w:val="1FBEAAA0"/>
    <w:rsid w:val="1FDF8C02"/>
    <w:rsid w:val="1FF05470"/>
    <w:rsid w:val="1FF580C5"/>
    <w:rsid w:val="1FFFDE0E"/>
    <w:rsid w:val="22AB6049"/>
    <w:rsid w:val="25F6E4A5"/>
    <w:rsid w:val="26B6909A"/>
    <w:rsid w:val="271D13B3"/>
    <w:rsid w:val="2A1AFFDC"/>
    <w:rsid w:val="2A854507"/>
    <w:rsid w:val="2AEAA753"/>
    <w:rsid w:val="2AFB39F5"/>
    <w:rsid w:val="2BE1B749"/>
    <w:rsid w:val="2DFFAC71"/>
    <w:rsid w:val="2E010BF0"/>
    <w:rsid w:val="2E7F6853"/>
    <w:rsid w:val="2E9EBF65"/>
    <w:rsid w:val="2EDE2C2F"/>
    <w:rsid w:val="2EEE0936"/>
    <w:rsid w:val="2EFFF043"/>
    <w:rsid w:val="2F5590AE"/>
    <w:rsid w:val="2FBF71EB"/>
    <w:rsid w:val="2FFD5051"/>
    <w:rsid w:val="31AD0403"/>
    <w:rsid w:val="322E33E2"/>
    <w:rsid w:val="33EBD19D"/>
    <w:rsid w:val="33F9D683"/>
    <w:rsid w:val="33FFE136"/>
    <w:rsid w:val="35926145"/>
    <w:rsid w:val="35BEA090"/>
    <w:rsid w:val="363F3B51"/>
    <w:rsid w:val="36A72B70"/>
    <w:rsid w:val="37BF0645"/>
    <w:rsid w:val="37DE8D9F"/>
    <w:rsid w:val="37DF0F60"/>
    <w:rsid w:val="37E72C2A"/>
    <w:rsid w:val="37FFCCC4"/>
    <w:rsid w:val="3867F08D"/>
    <w:rsid w:val="3A6A3056"/>
    <w:rsid w:val="3A724C3E"/>
    <w:rsid w:val="3ABBFAFA"/>
    <w:rsid w:val="3B2BBE7F"/>
    <w:rsid w:val="3B6723F6"/>
    <w:rsid w:val="3BAF5C84"/>
    <w:rsid w:val="3BE39833"/>
    <w:rsid w:val="3BF2B76E"/>
    <w:rsid w:val="3BFE2EED"/>
    <w:rsid w:val="3BFF1C78"/>
    <w:rsid w:val="3D7BBCA9"/>
    <w:rsid w:val="3DBD1351"/>
    <w:rsid w:val="3DEAD2D5"/>
    <w:rsid w:val="3DFBF820"/>
    <w:rsid w:val="3E36B024"/>
    <w:rsid w:val="3EF7ADEA"/>
    <w:rsid w:val="3EFB915F"/>
    <w:rsid w:val="3F7EDF43"/>
    <w:rsid w:val="3F7F30C2"/>
    <w:rsid w:val="3F7FC9DD"/>
    <w:rsid w:val="3FB7C792"/>
    <w:rsid w:val="3FD7CBDD"/>
    <w:rsid w:val="3FDDDDF3"/>
    <w:rsid w:val="3FDF1381"/>
    <w:rsid w:val="3FDF9962"/>
    <w:rsid w:val="3FE302DA"/>
    <w:rsid w:val="3FED308F"/>
    <w:rsid w:val="3FFBBA54"/>
    <w:rsid w:val="3FFDE208"/>
    <w:rsid w:val="3FFEC586"/>
    <w:rsid w:val="3FFF7701"/>
    <w:rsid w:val="3FFFEF0E"/>
    <w:rsid w:val="409607A5"/>
    <w:rsid w:val="41C815FA"/>
    <w:rsid w:val="42376858"/>
    <w:rsid w:val="43A3B3D5"/>
    <w:rsid w:val="45BB6242"/>
    <w:rsid w:val="47B52A7E"/>
    <w:rsid w:val="47D57BA5"/>
    <w:rsid w:val="47FF2B2C"/>
    <w:rsid w:val="4899680E"/>
    <w:rsid w:val="4BAC3C21"/>
    <w:rsid w:val="4D773826"/>
    <w:rsid w:val="4E3FC4E0"/>
    <w:rsid w:val="4F0BE8FA"/>
    <w:rsid w:val="4FD6B8C4"/>
    <w:rsid w:val="4FE30B64"/>
    <w:rsid w:val="4FFB0859"/>
    <w:rsid w:val="4FFF3F03"/>
    <w:rsid w:val="50BF98B4"/>
    <w:rsid w:val="518436C5"/>
    <w:rsid w:val="53CF4B53"/>
    <w:rsid w:val="554E4236"/>
    <w:rsid w:val="575FB55B"/>
    <w:rsid w:val="576B3EEC"/>
    <w:rsid w:val="5A682452"/>
    <w:rsid w:val="5ADB481B"/>
    <w:rsid w:val="5ADF9D3C"/>
    <w:rsid w:val="5B6F7F88"/>
    <w:rsid w:val="5BFDD6B2"/>
    <w:rsid w:val="5D3D2BAD"/>
    <w:rsid w:val="5D692886"/>
    <w:rsid w:val="5DDAD712"/>
    <w:rsid w:val="5DE6450F"/>
    <w:rsid w:val="5DFDBB22"/>
    <w:rsid w:val="5DFE55C1"/>
    <w:rsid w:val="5E462B8E"/>
    <w:rsid w:val="5E4F6420"/>
    <w:rsid w:val="5E7D2BD3"/>
    <w:rsid w:val="5EBB71B0"/>
    <w:rsid w:val="5EEBB7D6"/>
    <w:rsid w:val="5EF5E901"/>
    <w:rsid w:val="5F3FD8BB"/>
    <w:rsid w:val="5F5A625D"/>
    <w:rsid w:val="5F7360DC"/>
    <w:rsid w:val="5F7FBC95"/>
    <w:rsid w:val="5FA4B39D"/>
    <w:rsid w:val="5FBF02B3"/>
    <w:rsid w:val="5FDFFDD7"/>
    <w:rsid w:val="5FECB214"/>
    <w:rsid w:val="5FF6F5FB"/>
    <w:rsid w:val="5FFC5044"/>
    <w:rsid w:val="5FFE62AE"/>
    <w:rsid w:val="5FFEBC73"/>
    <w:rsid w:val="5FFF284A"/>
    <w:rsid w:val="5FFFF528"/>
    <w:rsid w:val="5FFFFF18"/>
    <w:rsid w:val="63147CC6"/>
    <w:rsid w:val="648E2AFD"/>
    <w:rsid w:val="65FEC41C"/>
    <w:rsid w:val="66FE242E"/>
    <w:rsid w:val="676FDA82"/>
    <w:rsid w:val="67CFED3D"/>
    <w:rsid w:val="67FC00BC"/>
    <w:rsid w:val="68A72322"/>
    <w:rsid w:val="69EE763A"/>
    <w:rsid w:val="69F1279B"/>
    <w:rsid w:val="6A9DBCD7"/>
    <w:rsid w:val="6ABD971D"/>
    <w:rsid w:val="6ADB2FE1"/>
    <w:rsid w:val="6BE595FF"/>
    <w:rsid w:val="6BED2801"/>
    <w:rsid w:val="6DAB5F25"/>
    <w:rsid w:val="6DEB756A"/>
    <w:rsid w:val="6DF5C5BC"/>
    <w:rsid w:val="6DFB4B13"/>
    <w:rsid w:val="6E1782CC"/>
    <w:rsid w:val="6E77E5BF"/>
    <w:rsid w:val="6ED4A727"/>
    <w:rsid w:val="6F3F4D1C"/>
    <w:rsid w:val="6F5F71E4"/>
    <w:rsid w:val="6F6F854E"/>
    <w:rsid w:val="6FAFBA5F"/>
    <w:rsid w:val="6FBF00D4"/>
    <w:rsid w:val="6FDB53D7"/>
    <w:rsid w:val="6FDF745C"/>
    <w:rsid w:val="6FEBC1F3"/>
    <w:rsid w:val="6FEE203B"/>
    <w:rsid w:val="6FEF17D1"/>
    <w:rsid w:val="6FEF72F8"/>
    <w:rsid w:val="6FF60D0D"/>
    <w:rsid w:val="6FF7A716"/>
    <w:rsid w:val="6FFAF638"/>
    <w:rsid w:val="6FFB3119"/>
    <w:rsid w:val="6FFB976C"/>
    <w:rsid w:val="6FFF7648"/>
    <w:rsid w:val="713C528A"/>
    <w:rsid w:val="713F0C2D"/>
    <w:rsid w:val="71FB6C77"/>
    <w:rsid w:val="72FFEBAA"/>
    <w:rsid w:val="738B833C"/>
    <w:rsid w:val="74F35BF6"/>
    <w:rsid w:val="75A7033D"/>
    <w:rsid w:val="75B7D1C0"/>
    <w:rsid w:val="75DF8A73"/>
    <w:rsid w:val="75EB4399"/>
    <w:rsid w:val="75FB2739"/>
    <w:rsid w:val="767FFABA"/>
    <w:rsid w:val="76AD0C04"/>
    <w:rsid w:val="76FBB802"/>
    <w:rsid w:val="76FDA3B7"/>
    <w:rsid w:val="76FFEB2C"/>
    <w:rsid w:val="770FC4F0"/>
    <w:rsid w:val="77250530"/>
    <w:rsid w:val="777A1ED3"/>
    <w:rsid w:val="777F0FFC"/>
    <w:rsid w:val="779FA9AB"/>
    <w:rsid w:val="77BA3594"/>
    <w:rsid w:val="77DBA940"/>
    <w:rsid w:val="77DBCB29"/>
    <w:rsid w:val="77DC86B4"/>
    <w:rsid w:val="77DD1B99"/>
    <w:rsid w:val="77DF1B89"/>
    <w:rsid w:val="77ED7C54"/>
    <w:rsid w:val="77FCF035"/>
    <w:rsid w:val="77FD9662"/>
    <w:rsid w:val="77FDA3BB"/>
    <w:rsid w:val="78BE71E2"/>
    <w:rsid w:val="79CD7CD6"/>
    <w:rsid w:val="79DD8CD6"/>
    <w:rsid w:val="7ACFCFE7"/>
    <w:rsid w:val="7AEEEAE4"/>
    <w:rsid w:val="7AF6BD03"/>
    <w:rsid w:val="7B13733A"/>
    <w:rsid w:val="7B7FA907"/>
    <w:rsid w:val="7BBE9601"/>
    <w:rsid w:val="7BBF04E2"/>
    <w:rsid w:val="7BC74C77"/>
    <w:rsid w:val="7BDB1C0B"/>
    <w:rsid w:val="7BDCD8C5"/>
    <w:rsid w:val="7BEF7F41"/>
    <w:rsid w:val="7BFB597E"/>
    <w:rsid w:val="7BFC0F67"/>
    <w:rsid w:val="7BFE24AF"/>
    <w:rsid w:val="7C3B69D5"/>
    <w:rsid w:val="7C8E323E"/>
    <w:rsid w:val="7C9F7E54"/>
    <w:rsid w:val="7CCD7C16"/>
    <w:rsid w:val="7CD74D4B"/>
    <w:rsid w:val="7CFF342D"/>
    <w:rsid w:val="7D7D41E6"/>
    <w:rsid w:val="7D7EFB54"/>
    <w:rsid w:val="7D7F7564"/>
    <w:rsid w:val="7D7FF0F8"/>
    <w:rsid w:val="7DAFD105"/>
    <w:rsid w:val="7DDEF114"/>
    <w:rsid w:val="7DEB6267"/>
    <w:rsid w:val="7DEBC305"/>
    <w:rsid w:val="7DF73533"/>
    <w:rsid w:val="7DF807E6"/>
    <w:rsid w:val="7DFFA669"/>
    <w:rsid w:val="7DFFBADA"/>
    <w:rsid w:val="7E0FC8D6"/>
    <w:rsid w:val="7E2E1329"/>
    <w:rsid w:val="7E7EF631"/>
    <w:rsid w:val="7E7F895B"/>
    <w:rsid w:val="7EB744C6"/>
    <w:rsid w:val="7ED7841B"/>
    <w:rsid w:val="7EEF11BF"/>
    <w:rsid w:val="7EEF3684"/>
    <w:rsid w:val="7EEFCC7F"/>
    <w:rsid w:val="7EF519F9"/>
    <w:rsid w:val="7EFB8B60"/>
    <w:rsid w:val="7EFDAFF3"/>
    <w:rsid w:val="7EFE4F58"/>
    <w:rsid w:val="7EFFA807"/>
    <w:rsid w:val="7EFFC38F"/>
    <w:rsid w:val="7F0B70E0"/>
    <w:rsid w:val="7F3F3B6E"/>
    <w:rsid w:val="7F5F9C3F"/>
    <w:rsid w:val="7F6BC40D"/>
    <w:rsid w:val="7F766E64"/>
    <w:rsid w:val="7F77CE1E"/>
    <w:rsid w:val="7F7DEFEA"/>
    <w:rsid w:val="7F7F1E9D"/>
    <w:rsid w:val="7F8D1E93"/>
    <w:rsid w:val="7FABE80E"/>
    <w:rsid w:val="7FB36D8F"/>
    <w:rsid w:val="7FB525F8"/>
    <w:rsid w:val="7FBA77BF"/>
    <w:rsid w:val="7FBD258A"/>
    <w:rsid w:val="7FC6B6A7"/>
    <w:rsid w:val="7FC951A2"/>
    <w:rsid w:val="7FCF1065"/>
    <w:rsid w:val="7FD7AA7C"/>
    <w:rsid w:val="7FDCDE4A"/>
    <w:rsid w:val="7FDE1357"/>
    <w:rsid w:val="7FDF3FC3"/>
    <w:rsid w:val="7FDFB452"/>
    <w:rsid w:val="7FDFF894"/>
    <w:rsid w:val="7FE7C98E"/>
    <w:rsid w:val="7FE7CEDA"/>
    <w:rsid w:val="7FEB39B9"/>
    <w:rsid w:val="7FEBAFBB"/>
    <w:rsid w:val="7FEDD3FA"/>
    <w:rsid w:val="7FF57C04"/>
    <w:rsid w:val="7FF788A1"/>
    <w:rsid w:val="7FFA3E35"/>
    <w:rsid w:val="7FFAFF8B"/>
    <w:rsid w:val="7FFB8E95"/>
    <w:rsid w:val="7FFBD7B3"/>
    <w:rsid w:val="7FFBD81D"/>
    <w:rsid w:val="7FFD2055"/>
    <w:rsid w:val="7FFD62B0"/>
    <w:rsid w:val="7FFDC41E"/>
    <w:rsid w:val="7FFDC534"/>
    <w:rsid w:val="7FFE953E"/>
    <w:rsid w:val="7FFF13F9"/>
    <w:rsid w:val="7FFFBC82"/>
    <w:rsid w:val="8B7CD6E4"/>
    <w:rsid w:val="8F1E0E08"/>
    <w:rsid w:val="8F274824"/>
    <w:rsid w:val="96796FE4"/>
    <w:rsid w:val="974ED8BF"/>
    <w:rsid w:val="977DD258"/>
    <w:rsid w:val="99FFA70A"/>
    <w:rsid w:val="9D4B5CFF"/>
    <w:rsid w:val="9D7D5801"/>
    <w:rsid w:val="9DEA22DF"/>
    <w:rsid w:val="9FF34A77"/>
    <w:rsid w:val="9FFF35D1"/>
    <w:rsid w:val="9FFFDB9F"/>
    <w:rsid w:val="A17DA418"/>
    <w:rsid w:val="A3CBB645"/>
    <w:rsid w:val="A5D7F5F4"/>
    <w:rsid w:val="A5FD7F70"/>
    <w:rsid w:val="A77F539F"/>
    <w:rsid w:val="A7BE8AD0"/>
    <w:rsid w:val="A8DDB27E"/>
    <w:rsid w:val="A8FF2DA8"/>
    <w:rsid w:val="AB5E202C"/>
    <w:rsid w:val="ABFF8E57"/>
    <w:rsid w:val="ACC05A27"/>
    <w:rsid w:val="ADBEB796"/>
    <w:rsid w:val="ADDF5DC7"/>
    <w:rsid w:val="AE1A6623"/>
    <w:rsid w:val="AE7D18E9"/>
    <w:rsid w:val="AEDBB6A0"/>
    <w:rsid w:val="AEFD9B05"/>
    <w:rsid w:val="AF3D0459"/>
    <w:rsid w:val="AF580720"/>
    <w:rsid w:val="AFA3B1CE"/>
    <w:rsid w:val="AFE591B6"/>
    <w:rsid w:val="AFF7D17E"/>
    <w:rsid w:val="AFFA8CD5"/>
    <w:rsid w:val="AFFBFE11"/>
    <w:rsid w:val="AFFF38FE"/>
    <w:rsid w:val="B27FC0A7"/>
    <w:rsid w:val="B5CFB61D"/>
    <w:rsid w:val="B79F64C6"/>
    <w:rsid w:val="B7B5EADC"/>
    <w:rsid w:val="B7BE5574"/>
    <w:rsid w:val="B97EC7E5"/>
    <w:rsid w:val="B9E6A28C"/>
    <w:rsid w:val="B9EE0861"/>
    <w:rsid w:val="B9FB6B46"/>
    <w:rsid w:val="BA7B23C6"/>
    <w:rsid w:val="BBBD0AAD"/>
    <w:rsid w:val="BBEF5028"/>
    <w:rsid w:val="BBFF8B37"/>
    <w:rsid w:val="BDAF8BC0"/>
    <w:rsid w:val="BDEA3ED3"/>
    <w:rsid w:val="BDFB1068"/>
    <w:rsid w:val="BDFFB499"/>
    <w:rsid w:val="BEB2FA24"/>
    <w:rsid w:val="BEF120B0"/>
    <w:rsid w:val="BEFD9118"/>
    <w:rsid w:val="BEFDE1C4"/>
    <w:rsid w:val="BF3D9342"/>
    <w:rsid w:val="BF7DEAF0"/>
    <w:rsid w:val="BF7F67F5"/>
    <w:rsid w:val="BFBFB7FE"/>
    <w:rsid w:val="BFBFBE82"/>
    <w:rsid w:val="BFDB7523"/>
    <w:rsid w:val="BFDF9BB3"/>
    <w:rsid w:val="BFE97E4C"/>
    <w:rsid w:val="BFF3813B"/>
    <w:rsid w:val="BFFE29A8"/>
    <w:rsid w:val="BFFF38C4"/>
    <w:rsid w:val="C5FF6E0F"/>
    <w:rsid w:val="C6D555B2"/>
    <w:rsid w:val="C7AF8539"/>
    <w:rsid w:val="CAFE23AC"/>
    <w:rsid w:val="CB6E652F"/>
    <w:rsid w:val="CBD7F330"/>
    <w:rsid w:val="CCFB1336"/>
    <w:rsid w:val="CD3B240C"/>
    <w:rsid w:val="CDC7A815"/>
    <w:rsid w:val="CEEF3B81"/>
    <w:rsid w:val="CF672E7D"/>
    <w:rsid w:val="CF6FEF33"/>
    <w:rsid w:val="CFF12151"/>
    <w:rsid w:val="CFFAB642"/>
    <w:rsid w:val="D2C3B362"/>
    <w:rsid w:val="D3BFE7D1"/>
    <w:rsid w:val="D4FBCEF6"/>
    <w:rsid w:val="D4FD0B70"/>
    <w:rsid w:val="D4FD7803"/>
    <w:rsid w:val="D63B00CD"/>
    <w:rsid w:val="D673999A"/>
    <w:rsid w:val="D6FD0E7D"/>
    <w:rsid w:val="D7FE15EF"/>
    <w:rsid w:val="D7FE2FD4"/>
    <w:rsid w:val="DAFAF1C9"/>
    <w:rsid w:val="DBA31E07"/>
    <w:rsid w:val="DBDFB94B"/>
    <w:rsid w:val="DBEF3BD2"/>
    <w:rsid w:val="DBEFB58F"/>
    <w:rsid w:val="DBF5FD11"/>
    <w:rsid w:val="DBF782A7"/>
    <w:rsid w:val="DBF9CCD7"/>
    <w:rsid w:val="DBFF8429"/>
    <w:rsid w:val="DCDD2A95"/>
    <w:rsid w:val="DCFAC464"/>
    <w:rsid w:val="DDAF6944"/>
    <w:rsid w:val="DDDDEDD8"/>
    <w:rsid w:val="DDE5D0DC"/>
    <w:rsid w:val="DDF50FCB"/>
    <w:rsid w:val="DDFF3A70"/>
    <w:rsid w:val="DEF335F7"/>
    <w:rsid w:val="DEFD63BF"/>
    <w:rsid w:val="DF0532DA"/>
    <w:rsid w:val="DF13DEAA"/>
    <w:rsid w:val="DF1FC44E"/>
    <w:rsid w:val="DF3D96F8"/>
    <w:rsid w:val="DF3F3A71"/>
    <w:rsid w:val="DF5BBD18"/>
    <w:rsid w:val="DF6F1520"/>
    <w:rsid w:val="DF7F511B"/>
    <w:rsid w:val="DFAFE2BA"/>
    <w:rsid w:val="DFDC9CBE"/>
    <w:rsid w:val="DFDE8A5A"/>
    <w:rsid w:val="DFDF322D"/>
    <w:rsid w:val="DFF6DC94"/>
    <w:rsid w:val="DFFADCC8"/>
    <w:rsid w:val="E1BD3332"/>
    <w:rsid w:val="E33E3560"/>
    <w:rsid w:val="E3E957B9"/>
    <w:rsid w:val="E57767BB"/>
    <w:rsid w:val="E77F2EDE"/>
    <w:rsid w:val="E782257F"/>
    <w:rsid w:val="E79FFCC9"/>
    <w:rsid w:val="E7FBD843"/>
    <w:rsid w:val="E7FD6221"/>
    <w:rsid w:val="E7FE80AE"/>
    <w:rsid w:val="E7FFEB7D"/>
    <w:rsid w:val="E88495A2"/>
    <w:rsid w:val="EA3F9ACB"/>
    <w:rsid w:val="EAFF4B7F"/>
    <w:rsid w:val="EB9BE04C"/>
    <w:rsid w:val="ECFFA342"/>
    <w:rsid w:val="ED59BE15"/>
    <w:rsid w:val="ED733D35"/>
    <w:rsid w:val="EDBDAF7F"/>
    <w:rsid w:val="EE7FDF24"/>
    <w:rsid w:val="EEBFB73E"/>
    <w:rsid w:val="EEED5F15"/>
    <w:rsid w:val="EEFF1345"/>
    <w:rsid w:val="EF1F3195"/>
    <w:rsid w:val="EF2F281A"/>
    <w:rsid w:val="EF4D62BD"/>
    <w:rsid w:val="EF56BCAA"/>
    <w:rsid w:val="EF5CB80A"/>
    <w:rsid w:val="EF6CE134"/>
    <w:rsid w:val="EFAC1933"/>
    <w:rsid w:val="EFAF54B0"/>
    <w:rsid w:val="EFDB31A6"/>
    <w:rsid w:val="EFDCD392"/>
    <w:rsid w:val="EFFD9824"/>
    <w:rsid w:val="F0FA4117"/>
    <w:rsid w:val="F17F4D0A"/>
    <w:rsid w:val="F1A57C9F"/>
    <w:rsid w:val="F2EF1D91"/>
    <w:rsid w:val="F37F44E5"/>
    <w:rsid w:val="F3DFB80B"/>
    <w:rsid w:val="F4BF5D69"/>
    <w:rsid w:val="F57E4D36"/>
    <w:rsid w:val="F5CF52D0"/>
    <w:rsid w:val="F63F4C50"/>
    <w:rsid w:val="F66F9563"/>
    <w:rsid w:val="F6DB496A"/>
    <w:rsid w:val="F6FCAC7B"/>
    <w:rsid w:val="F70FE8AC"/>
    <w:rsid w:val="F73E0D17"/>
    <w:rsid w:val="F7B7984E"/>
    <w:rsid w:val="F7D97887"/>
    <w:rsid w:val="F7D9FD92"/>
    <w:rsid w:val="F7DC4889"/>
    <w:rsid w:val="F7DFB424"/>
    <w:rsid w:val="F7DFBF3F"/>
    <w:rsid w:val="F7EADCDB"/>
    <w:rsid w:val="F7EFF888"/>
    <w:rsid w:val="F7FD2A3D"/>
    <w:rsid w:val="F7FFEFD8"/>
    <w:rsid w:val="F83F8344"/>
    <w:rsid w:val="F8A148D8"/>
    <w:rsid w:val="F9FFBE77"/>
    <w:rsid w:val="FADF5851"/>
    <w:rsid w:val="FADFC23B"/>
    <w:rsid w:val="FAED3F6E"/>
    <w:rsid w:val="FAFF5884"/>
    <w:rsid w:val="FB575177"/>
    <w:rsid w:val="FB6A18C0"/>
    <w:rsid w:val="FB6F84BA"/>
    <w:rsid w:val="FB7BC871"/>
    <w:rsid w:val="FB855E56"/>
    <w:rsid w:val="FBB92075"/>
    <w:rsid w:val="FBCA0971"/>
    <w:rsid w:val="FBD75392"/>
    <w:rsid w:val="FBDD155C"/>
    <w:rsid w:val="FBDD1EB0"/>
    <w:rsid w:val="FBDE95F0"/>
    <w:rsid w:val="FBDF1B4A"/>
    <w:rsid w:val="FBFA21C1"/>
    <w:rsid w:val="FBFB45AE"/>
    <w:rsid w:val="FBFB82D8"/>
    <w:rsid w:val="FC37B61F"/>
    <w:rsid w:val="FC6F1D58"/>
    <w:rsid w:val="FC7DD386"/>
    <w:rsid w:val="FCED1951"/>
    <w:rsid w:val="FD33517F"/>
    <w:rsid w:val="FD9E54E2"/>
    <w:rsid w:val="FDB6321F"/>
    <w:rsid w:val="FDBCAEA5"/>
    <w:rsid w:val="FDCB350F"/>
    <w:rsid w:val="FDDAAFF9"/>
    <w:rsid w:val="FDF576AA"/>
    <w:rsid w:val="FDF5827D"/>
    <w:rsid w:val="FDF67AD0"/>
    <w:rsid w:val="FDF70E6E"/>
    <w:rsid w:val="FDFBFF3D"/>
    <w:rsid w:val="FDFD3539"/>
    <w:rsid w:val="FDFF7DD9"/>
    <w:rsid w:val="FDFF7EE2"/>
    <w:rsid w:val="FDFFEB48"/>
    <w:rsid w:val="FE27DD59"/>
    <w:rsid w:val="FE35FCE4"/>
    <w:rsid w:val="FE3F98BD"/>
    <w:rsid w:val="FE5B0033"/>
    <w:rsid w:val="FE734873"/>
    <w:rsid w:val="FE75F63E"/>
    <w:rsid w:val="FE7BB961"/>
    <w:rsid w:val="FE7F2166"/>
    <w:rsid w:val="FE7F6C36"/>
    <w:rsid w:val="FEBDF084"/>
    <w:rsid w:val="FEBFAB27"/>
    <w:rsid w:val="FECF5FB4"/>
    <w:rsid w:val="FED10E0E"/>
    <w:rsid w:val="FEDB0A79"/>
    <w:rsid w:val="FEDDC6B6"/>
    <w:rsid w:val="FEDEF29D"/>
    <w:rsid w:val="FEE95D29"/>
    <w:rsid w:val="FEF69901"/>
    <w:rsid w:val="FEFDAEFF"/>
    <w:rsid w:val="FEFE66B4"/>
    <w:rsid w:val="FEFF50A8"/>
    <w:rsid w:val="FF35DAD3"/>
    <w:rsid w:val="FF3E28CB"/>
    <w:rsid w:val="FF3E61E2"/>
    <w:rsid w:val="FF6F2D11"/>
    <w:rsid w:val="FF7C4812"/>
    <w:rsid w:val="FF7D3D89"/>
    <w:rsid w:val="FF7DA529"/>
    <w:rsid w:val="FF7F0B6F"/>
    <w:rsid w:val="FF7F19A3"/>
    <w:rsid w:val="FF7F7AD9"/>
    <w:rsid w:val="FF93E6AE"/>
    <w:rsid w:val="FF9FBE28"/>
    <w:rsid w:val="FFAA071B"/>
    <w:rsid w:val="FFAB8931"/>
    <w:rsid w:val="FFB9853A"/>
    <w:rsid w:val="FFBF3E91"/>
    <w:rsid w:val="FFBFB633"/>
    <w:rsid w:val="FFD61A44"/>
    <w:rsid w:val="FFDB0B11"/>
    <w:rsid w:val="FFDF54C0"/>
    <w:rsid w:val="FFE3DFCA"/>
    <w:rsid w:val="FFE59322"/>
    <w:rsid w:val="FFE9E4D6"/>
    <w:rsid w:val="FFED5314"/>
    <w:rsid w:val="FFEF9922"/>
    <w:rsid w:val="FFF74BD7"/>
    <w:rsid w:val="FFF7EDFC"/>
    <w:rsid w:val="FFFAB98C"/>
    <w:rsid w:val="FFFBDE7B"/>
    <w:rsid w:val="FFFD23AB"/>
    <w:rsid w:val="FFFD2CEA"/>
    <w:rsid w:val="FFFD7FBF"/>
    <w:rsid w:val="FFFE84A7"/>
    <w:rsid w:val="FFFE94B3"/>
    <w:rsid w:val="FFFF723E"/>
    <w:rsid w:val="FFFF724D"/>
    <w:rsid w:val="FFFFEF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仿宋_GB2312" w:hAnsi="仿宋_GB2312" w:eastAsia="仿宋_GB2312" w:cs="仿宋_GB2312"/>
      <w:sz w:val="32"/>
      <w:szCs w:val="32"/>
      <w:lang w:val="zh-CN" w:bidi="zh-CN"/>
    </w:rPr>
  </w:style>
  <w:style w:type="paragraph" w:styleId="3">
    <w:name w:val="annotation text"/>
    <w:basedOn w:val="1"/>
    <w:semiHidden/>
    <w:unhideWhenUsed/>
    <w:qFormat/>
    <w:uiPriority w:val="99"/>
    <w:pPr>
      <w:jc w:val="left"/>
    </w:pPr>
  </w:style>
  <w:style w:type="paragraph" w:styleId="4">
    <w:name w:val="footer"/>
    <w:basedOn w:val="1"/>
    <w:qFormat/>
    <w:uiPriority w:val="99"/>
    <w:pPr>
      <w:tabs>
        <w:tab w:val="center" w:pos="4153"/>
        <w:tab w:val="right" w:pos="8306"/>
      </w:tabs>
      <w:snapToGrid w:val="0"/>
      <w:jc w:val="left"/>
    </w:pPr>
    <w:rPr>
      <w:rFonts w:ascii="Times New Roman" w:hAnsi="Times New Roman"/>
      <w:kern w:val="0"/>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8">
    <w:name w:val="Title"/>
    <w:basedOn w:val="1"/>
    <w:next w:val="1"/>
    <w:qFormat/>
    <w:uiPriority w:val="0"/>
    <w:pPr>
      <w:ind w:firstLine="0" w:firstLineChars="0"/>
      <w:jc w:val="center"/>
      <w:outlineLvl w:val="0"/>
    </w:pPr>
    <w:rPr>
      <w:rFonts w:eastAsia="方正小标宋简体" w:asciiTheme="majorHAnsi" w:hAnsiTheme="majorHAnsi" w:cstheme="majorBidi"/>
      <w:bCs/>
      <w:sz w:val="44"/>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99"/>
    <w:rPr>
      <w:rFonts w:cs="Times New Roman"/>
      <w:b/>
      <w:bCs/>
    </w:rPr>
  </w:style>
  <w:style w:type="paragraph" w:customStyle="1" w:styleId="1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3185</Words>
  <Characters>3239</Characters>
  <Lines>0</Lines>
  <Paragraphs>0</Paragraphs>
  <TotalTime>4</TotalTime>
  <ScaleCrop>false</ScaleCrop>
  <LinksUpToDate>false</LinksUpToDate>
  <CharactersWithSpaces>3352</CharactersWithSpaces>
  <Application>WPS Office_11.8.2.9701_F1E327BC-269C-435d-A152-05C5408002CA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2021-08-20T19:15:00Z</dcterms:created>
  <dc:creator>kylin</dc:creator>
  <cp:lastModifiedBy>kylin</cp:lastModifiedBy>
  <cp:lastPrinted>2026-01-17T08:41:00Z</cp:lastPrinted>
  <dcterms:modified xsi:type="dcterms:W3CDTF">2026-01-20T14:12:52Z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2052-11.8.2.9701</vt:lpwstr>
  </property>
  <property fmtid="{D5CDD505-2E9C-101B-9397-08002B2CF9AE}" pid="3" name="ICV">
    <vt:lpwstr>E3616329EB4440A29568C9E188C6F5FF_13</vt:lpwstr>
  </property>
  <property fmtid="{D5CDD505-2E9C-101B-9397-08002B2CF9AE}" pid="4" name="KSOTemplateDocerSaveRecord">
    <vt:lpwstr>eyJoZGlkIjoiNDgyMGUyYzE5NWU1ZTRkOGU5MTk1MDU0MzVhM2ViOWEifQ==</vt:lpwstr>
  </property>
</Properties>
</file>