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F334C9">
      <w:pPr>
        <w:keepNext w:val="0"/>
        <w:keepLines w:val="0"/>
        <w:pageBreakBefore w:val="0"/>
        <w:widowControl w:val="0"/>
        <w:wordWrap/>
        <w:overflowPunct/>
        <w:topLinePunct w:val="0"/>
        <w:autoSpaceDE w:val="0"/>
        <w:autoSpaceDN w:val="0"/>
        <w:bidi w:val="0"/>
        <w:adjustRightInd w:val="0"/>
        <w:spacing w:line="1640" w:lineRule="exact"/>
        <w:jc w:val="center"/>
        <w:textAlignment w:val="bottom"/>
        <w:rPr>
          <w:rFonts w:ascii="宋体" w:hAnsi="宋体"/>
          <w:b/>
          <w:bCs/>
          <w:color w:val="FF0000"/>
          <w:w w:val="60"/>
          <w:kern w:val="0"/>
          <w:sz w:val="84"/>
          <w:szCs w:val="84"/>
        </w:rPr>
      </w:pPr>
      <w:r>
        <w:rPr>
          <w:rFonts w:ascii="华文中宋" w:hAnsi="华文中宋" w:eastAsia="华文中宋"/>
          <w:b/>
          <w:bCs/>
          <w:kern w:val="0"/>
          <w:sz w:val="110"/>
          <w:szCs w:val="11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-267970</wp:posOffset>
                </wp:positionV>
                <wp:extent cx="2066925" cy="4953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6925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B4B309D">
                            <w:pPr>
                              <w:rPr>
                                <w:rFonts w:hint="default" w:ascii="Times New Roman" w:hAnsi="Times New Roman" w:eastAsia="方正小标宋简体"/>
                                <w:bCs/>
                                <w:color w:val="000000"/>
                                <w:w w:val="59"/>
                                <w:sz w:val="32"/>
                                <w:szCs w:val="32"/>
                                <w:lang w:val="en" w:eastAsia="zh-CN"/>
                              </w:rPr>
                            </w:pPr>
                            <w:r>
                              <w:rPr>
                                <w:rFonts w:ascii="Times New Roman" w:hAnsi="Times New Roman" w:eastAsia="方正小标宋简体"/>
                                <w:color w:val="000000"/>
                                <w:sz w:val="32"/>
                                <w:szCs w:val="32"/>
                              </w:rPr>
                              <w:t>CSCR-20</w:t>
                            </w:r>
                            <w:r>
                              <w:rPr>
                                <w:rFonts w:hint="eastAsia" w:ascii="Times New Roman" w:hAnsi="Times New Roman" w:eastAsia="方正小标宋简体"/>
                                <w:color w:val="000000"/>
                                <w:sz w:val="32"/>
                                <w:szCs w:val="32"/>
                              </w:rPr>
                              <w:t>2</w:t>
                            </w:r>
                            <w:r>
                              <w:rPr>
                                <w:rFonts w:hint="default" w:ascii="Times New Roman" w:hAnsi="Times New Roman" w:eastAsia="方正小标宋简体"/>
                                <w:color w:val="000000"/>
                                <w:sz w:val="32"/>
                                <w:szCs w:val="32"/>
                                <w:lang w:val="en" w:eastAsia="zh-CN"/>
                              </w:rPr>
                              <w:t>5</w:t>
                            </w:r>
                            <w:r>
                              <w:rPr>
                                <w:rFonts w:ascii="Times New Roman" w:hAnsi="Times New Roman" w:eastAsia="方正小标宋简体"/>
                                <w:color w:val="000000"/>
                                <w:sz w:val="32"/>
                                <w:szCs w:val="32"/>
                              </w:rPr>
                              <w:t>-</w:t>
                            </w:r>
                            <w:r>
                              <w:rPr>
                                <w:rFonts w:hint="eastAsia" w:ascii="Times New Roman" w:hAnsi="Times New Roman" w:eastAsia="方正小标宋简体"/>
                                <w:color w:val="000000"/>
                                <w:sz w:val="32"/>
                                <w:szCs w:val="32"/>
                                <w:lang w:val="en-US" w:eastAsia="zh-CN"/>
                              </w:rPr>
                              <w:t>73003</w:t>
                            </w:r>
                            <w:r>
                              <w:rPr>
                                <w:rFonts w:hint="default" w:ascii="Times New Roman" w:hAnsi="Times New Roman" w:eastAsia="方正小标宋简体"/>
                                <w:color w:val="000000"/>
                                <w:sz w:val="32"/>
                                <w:szCs w:val="32"/>
                                <w:lang w:val="en" w:eastAsia="zh-CN"/>
                              </w:rPr>
                              <w:t xml:space="preserve"> </w:t>
                            </w:r>
                          </w:p>
                          <w:p w14:paraId="0EBD261E">
                            <w:pPr>
                              <w:rPr>
                                <w:rFonts w:ascii="仿宋_GB2312" w:hAnsi="华文中宋" w:eastAsia="仿宋_GB2312"/>
                                <w:bCs/>
                                <w:color w:val="000000"/>
                                <w:w w:val="59"/>
                                <w:sz w:val="32"/>
                                <w:szCs w:val="32"/>
                              </w:rPr>
                            </w:pPr>
                          </w:p>
                          <w:p w14:paraId="6E182FF0">
                            <w:pPr>
                              <w:rPr>
                                <w:rFonts w:eastAsia="方正小标宋简体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pt;margin-top:-21.1pt;height:39pt;width:162.75pt;z-index:251659264;mso-width-relative:page;mso-height-relative:page;" filled="f" stroked="f" coordsize="21600,21600" o:gfxdata="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LQeocXX&#10;AAAACgEAAA8AAAAAAAAAAQAgAAAAIgAAAGRycy9kb3ducmV2LnhtbFBLAQIUABQAAAAIAIdO4kC6&#10;SmzBrwEAAE4DAAAOAAAAAAAAAAEAIAAAACYBAABkcnMvZTJvRG9jLnhtbFBLBQYAAAAABgAGAFkB&#10;AABH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1B4B309D">
                      <w:pPr>
                        <w:rPr>
                          <w:rFonts w:hint="default" w:ascii="Times New Roman" w:hAnsi="Times New Roman" w:eastAsia="方正小标宋简体"/>
                          <w:bCs/>
                          <w:color w:val="000000"/>
                          <w:w w:val="59"/>
                          <w:sz w:val="32"/>
                          <w:szCs w:val="32"/>
                          <w:lang w:val="en" w:eastAsia="zh-CN"/>
                        </w:rPr>
                      </w:pPr>
                      <w:r>
                        <w:rPr>
                          <w:rFonts w:ascii="Times New Roman" w:hAnsi="Times New Roman" w:eastAsia="方正小标宋简体"/>
                          <w:color w:val="000000"/>
                          <w:sz w:val="32"/>
                          <w:szCs w:val="32"/>
                        </w:rPr>
                        <w:t>CSCR-20</w:t>
                      </w:r>
                      <w:r>
                        <w:rPr>
                          <w:rFonts w:hint="eastAsia" w:ascii="Times New Roman" w:hAnsi="Times New Roman" w:eastAsia="方正小标宋简体"/>
                          <w:color w:val="000000"/>
                          <w:sz w:val="32"/>
                          <w:szCs w:val="32"/>
                        </w:rPr>
                        <w:t>2</w:t>
                      </w:r>
                      <w:r>
                        <w:rPr>
                          <w:rFonts w:hint="default" w:ascii="Times New Roman" w:hAnsi="Times New Roman" w:eastAsia="方正小标宋简体"/>
                          <w:color w:val="000000"/>
                          <w:sz w:val="32"/>
                          <w:szCs w:val="32"/>
                          <w:lang w:val="en" w:eastAsia="zh-CN"/>
                        </w:rPr>
                        <w:t>5</w:t>
                      </w:r>
                      <w:r>
                        <w:rPr>
                          <w:rFonts w:ascii="Times New Roman" w:hAnsi="Times New Roman" w:eastAsia="方正小标宋简体"/>
                          <w:color w:val="000000"/>
                          <w:sz w:val="32"/>
                          <w:szCs w:val="32"/>
                        </w:rPr>
                        <w:t>-</w:t>
                      </w:r>
                      <w:r>
                        <w:rPr>
                          <w:rFonts w:hint="eastAsia" w:ascii="Times New Roman" w:hAnsi="Times New Roman" w:eastAsia="方正小标宋简体"/>
                          <w:color w:val="000000"/>
                          <w:sz w:val="32"/>
                          <w:szCs w:val="32"/>
                          <w:lang w:val="en-US" w:eastAsia="zh-CN"/>
                        </w:rPr>
                        <w:t>73003</w:t>
                      </w:r>
                      <w:r>
                        <w:rPr>
                          <w:rFonts w:hint="default" w:ascii="Times New Roman" w:hAnsi="Times New Roman" w:eastAsia="方正小标宋简体"/>
                          <w:color w:val="000000"/>
                          <w:sz w:val="32"/>
                          <w:szCs w:val="32"/>
                          <w:lang w:val="en" w:eastAsia="zh-CN"/>
                        </w:rPr>
                        <w:t xml:space="preserve"> </w:t>
                      </w:r>
                    </w:p>
                    <w:p w14:paraId="0EBD261E">
                      <w:pPr>
                        <w:rPr>
                          <w:rFonts w:ascii="仿宋_GB2312" w:hAnsi="华文中宋" w:eastAsia="仿宋_GB2312"/>
                          <w:bCs/>
                          <w:color w:val="000000"/>
                          <w:w w:val="59"/>
                          <w:sz w:val="32"/>
                          <w:szCs w:val="32"/>
                        </w:rPr>
                      </w:pPr>
                    </w:p>
                    <w:p w14:paraId="6E182FF0">
                      <w:pPr>
                        <w:rPr>
                          <w:rFonts w:eastAsia="方正小标宋简体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A0FF004">
      <w:pPr>
        <w:keepNext w:val="0"/>
        <w:keepLines w:val="0"/>
        <w:pageBreakBefore w:val="0"/>
        <w:widowControl w:val="0"/>
        <w:wordWrap/>
        <w:overflowPunct/>
        <w:topLinePunct w:val="0"/>
        <w:autoSpaceDE w:val="0"/>
        <w:autoSpaceDN w:val="0"/>
        <w:bidi w:val="0"/>
        <w:adjustRightInd w:val="0"/>
        <w:spacing w:line="560" w:lineRule="atLeast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 w:val="0"/>
          <w:color w:val="FF0000"/>
          <w:w w:val="60"/>
          <w:sz w:val="110"/>
          <w:szCs w:val="110"/>
        </w:rPr>
      </w:pPr>
    </w:p>
    <w:p w14:paraId="24EFA4B8"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800" w:lineRule="exact"/>
        <w:jc w:val="center"/>
        <w:rPr>
          <w:rFonts w:ascii="仿宋_GB2312"/>
          <w:color w:val="000000"/>
          <w:szCs w:val="32"/>
        </w:rPr>
      </w:pPr>
    </w:p>
    <w:p w14:paraId="441067F9"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ind w:firstLine="320" w:firstLineChars="100"/>
        <w:jc w:val="center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长</w:t>
      </w:r>
      <w:r>
        <w:rPr>
          <w:rFonts w:hint="eastAsia" w:ascii="仿宋_GB2312" w:eastAsia="仿宋_GB2312" w:cs="Times New Roman"/>
          <w:color w:val="000000"/>
          <w:sz w:val="32"/>
          <w:szCs w:val="32"/>
        </w:rPr>
        <w:t>金管</w:t>
      </w:r>
      <w:r>
        <w:rPr>
          <w:rFonts w:hint="eastAsia" w:ascii="仿宋_GB2312" w:eastAsia="仿宋_GB2312" w:cs="Times New Roman"/>
          <w:color w:val="000000"/>
          <w:sz w:val="32"/>
          <w:szCs w:val="32"/>
          <w:lang w:eastAsia="zh-CN"/>
        </w:rPr>
        <w:t>发</w:t>
      </w:r>
      <w:r>
        <w:rPr>
          <w:rFonts w:hint="eastAsia" w:ascii="仿宋_GB2312" w:eastAsia="仿宋_GB2312" w:cs="Times New Roman"/>
          <w:color w:val="000000"/>
          <w:sz w:val="32"/>
          <w:szCs w:val="32"/>
        </w:rPr>
        <w:t>〔2</w:t>
      </w:r>
      <w:r>
        <w:rPr>
          <w:rFonts w:hint="eastAsia" w:ascii="仿宋_GB2312" w:eastAsia="仿宋_GB2312"/>
          <w:color w:val="000000"/>
          <w:sz w:val="32"/>
          <w:szCs w:val="32"/>
        </w:rPr>
        <w:t>0</w:t>
      </w:r>
      <w:r>
        <w:rPr>
          <w:rFonts w:hint="eastAsia" w:ascii="仿宋_GB2312"/>
          <w:color w:val="000000"/>
          <w:sz w:val="32"/>
          <w:szCs w:val="32"/>
          <w:lang w:val="en-US" w:eastAsia="zh-CN"/>
        </w:rPr>
        <w:t>2</w:t>
      </w:r>
      <w:r>
        <w:rPr>
          <w:rFonts w:hint="default" w:ascii="仿宋_GB2312"/>
          <w:color w:val="000000"/>
          <w:sz w:val="32"/>
          <w:szCs w:val="32"/>
          <w:lang w:val="en" w:eastAsia="zh-CN"/>
        </w:rPr>
        <w:t>5</w:t>
      </w:r>
      <w:r>
        <w:rPr>
          <w:rFonts w:hint="eastAsia" w:ascii="仿宋_GB2312" w:eastAsia="仿宋_GB2312"/>
          <w:color w:val="000000"/>
          <w:sz w:val="32"/>
          <w:szCs w:val="32"/>
        </w:rPr>
        <w:t>〕</w:t>
      </w:r>
      <w:r>
        <w:rPr>
          <w:rFonts w:hint="default" w:ascii="仿宋_GB2312" w:eastAsia="仿宋_GB2312"/>
          <w:color w:val="000000"/>
          <w:sz w:val="32"/>
          <w:szCs w:val="32"/>
          <w:lang w:val="en" w:eastAsia="zh-CN"/>
        </w:rPr>
        <w:t>29</w:t>
      </w:r>
      <w:r>
        <w:rPr>
          <w:rFonts w:hint="eastAsia" w:ascii="仿宋_GB2312" w:eastAsia="仿宋_GB2312"/>
          <w:color w:val="000000"/>
          <w:sz w:val="32"/>
          <w:szCs w:val="32"/>
        </w:rPr>
        <w:t>号</w:t>
      </w:r>
      <w:bookmarkStart w:id="0" w:name="_GoBack"/>
      <w:bookmarkEnd w:id="0"/>
    </w:p>
    <w:p w14:paraId="1B754AC6"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600" w:lineRule="exact"/>
        <w:jc w:val="both"/>
        <w:rPr>
          <w:rFonts w:hint="eastAsia" w:ascii="方正小标宋简体" w:eastAsia="方正小标宋简体"/>
          <w:sz w:val="44"/>
          <w:szCs w:val="44"/>
        </w:rPr>
      </w:pPr>
    </w:p>
    <w:p w14:paraId="21D61B35">
      <w:pPr>
        <w:pStyle w:val="3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0" w:beforeAutospacing="0" w:afterAutospacing="0" w:line="72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</w:rPr>
        <w:t>关于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lang w:eastAsia="zh-CN"/>
        </w:rPr>
        <w:t>开展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</w:rPr>
        <w:t>提取住房公积金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lang w:eastAsia="zh-CN"/>
        </w:rPr>
        <w:t>直付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</w:rPr>
        <w:t>房租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lang w:eastAsia="zh-CN"/>
        </w:rPr>
        <w:t>业务的</w:t>
      </w:r>
    </w:p>
    <w:p w14:paraId="14E6CA2A">
      <w:pPr>
        <w:pStyle w:val="3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0" w:beforeAutospacing="0" w:afterAutospacing="0" w:line="72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lang w:eastAsia="zh-CN"/>
        </w:rPr>
        <w:t>通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lang w:eastAsia="zh-CN"/>
        </w:rPr>
        <w:t>知</w:t>
      </w:r>
    </w:p>
    <w:p w14:paraId="59BCCF6D">
      <w:pPr>
        <w:pStyle w:val="3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</w:p>
    <w:p w14:paraId="214E5D5C">
      <w:pPr>
        <w:pStyle w:val="3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right="0"/>
        <w:jc w:val="both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</w:rPr>
        <w:t>各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住房公积金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</w:rPr>
        <w:t>缴存人：</w:t>
      </w:r>
    </w:p>
    <w:p w14:paraId="6CEE7CCF">
      <w:pPr>
        <w:pStyle w:val="3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为贯彻落实《关于调整住房公积金业务政策的通知》（长金管委〔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〕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5号）文件精神，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进一步方便缴存人办理住房公积金租房提取业务，经研究，长沙住房公积金管理中心（以下简称公积金中心）将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</w:rPr>
        <w:t>与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我市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租房运营机构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</w:rPr>
        <w:t>合作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开展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提取住房公积金直付房租（以下简称租房直付）业务模式，现就有关事项通知如下：</w:t>
      </w:r>
    </w:p>
    <w:p w14:paraId="3BB17497"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0" w:right="0" w:firstLine="640" w:firstLineChars="200"/>
        <w:jc w:val="both"/>
        <w:textAlignment w:val="baseline"/>
        <w:rPr>
          <w:rFonts w:hint="eastAsia" w:ascii="黑体" w:hAnsi="黑体" w:eastAsia="黑体" w:cs="黑体"/>
          <w:b w:val="0"/>
          <w:bCs w:val="0"/>
          <w:color w:val="auto"/>
          <w:spacing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0"/>
          <w:sz w:val="32"/>
          <w:szCs w:val="32"/>
          <w:lang w:eastAsia="zh-CN"/>
        </w:rPr>
        <w:t>业务要求</w:t>
      </w:r>
    </w:p>
    <w:p w14:paraId="02E2E63A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firstLine="640" w:firstLineChars="200"/>
        <w:jc w:val="both"/>
        <w:textAlignment w:val="baseline"/>
        <w:rPr>
          <w:rFonts w:hint="default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（一）缴存人家庭符合我市租房提取条件，且其租赁房屋纳入租房直付合作项目房屋的，可以办理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租房直付业务。</w:t>
      </w:r>
    </w:p>
    <w:p w14:paraId="66F19C2D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（二）缴存人或其配偶选择租房直付业务的，其家庭不能申请除该套住房租房直付以外的其他提取业务。</w:t>
      </w:r>
    </w:p>
    <w:p w14:paraId="35CCC97D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（三）缴存人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" w:eastAsia="zh-CN"/>
        </w:rPr>
        <w:t>提前解除或终止租赁合同的，应同时向公积金中心申请终止租房直付业务。</w:t>
      </w:r>
    </w:p>
    <w:p w14:paraId="7709779D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" w:eastAsia="zh-CN"/>
        </w:rPr>
        <w:t>（四）缴存人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办理租房直付业务期间出现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" w:eastAsia="zh-CN"/>
        </w:rPr>
        <w:t>不符合租房直付条件情形的，公积金中心终止业务；终止后又符合租房直付条件的，缴存人可以再次申请。</w:t>
      </w:r>
    </w:p>
    <w:p w14:paraId="58745831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（五）房屋租赁期限内，公积金中心每月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" w:eastAsia="zh-CN"/>
        </w:rPr>
        <w:t>26日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（遇节假日顺延）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将缴存人住房公积金划转至租房运营机构指定收款账户，每次划转金额不超过缴存人本月应付租金。差额部分由缴存人与租房运营机构自行协商支付。</w:t>
      </w:r>
    </w:p>
    <w:p w14:paraId="5D5AB443">
      <w:pPr>
        <w:pStyle w:val="3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0" w:right="0" w:firstLine="640" w:firstLineChars="200"/>
        <w:jc w:val="both"/>
        <w:textAlignment w:val="baseline"/>
        <w:rPr>
          <w:rFonts w:hint="eastAsia" w:ascii="黑体" w:hAnsi="黑体" w:eastAsia="黑体" w:cs="黑体"/>
          <w:color w:val="auto"/>
          <w:spacing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pacing w:val="0"/>
          <w:sz w:val="32"/>
          <w:szCs w:val="32"/>
          <w:lang w:eastAsia="zh-CN"/>
        </w:rPr>
        <w:t>二、申请方式</w:t>
      </w:r>
    </w:p>
    <w:p w14:paraId="527788B7">
      <w:pPr>
        <w:pStyle w:val="3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（一）线下申请。缴存人向公积金中心服务网点提出申请，填写《长沙住房公积金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租房直付业务申请表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》，提交租房提取资料；申请终止租房直付业务的，提交本人身份证明原件。</w:t>
      </w:r>
    </w:p>
    <w:p w14:paraId="2777E13F">
      <w:pPr>
        <w:pStyle w:val="3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（二）线上申请。缴存人通过“长沙住房公积金”微信公众号提交申请，公积金中心核查业务相关信息；如无法核查到相关信息，则需缴存人线下申请。</w:t>
      </w:r>
    </w:p>
    <w:p w14:paraId="15E223C3">
      <w:pPr>
        <w:pStyle w:val="3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firstLine="640" w:firstLineChars="200"/>
        <w:jc w:val="both"/>
        <w:textAlignment w:val="baseline"/>
        <w:rPr>
          <w:rFonts w:hint="eastAsia" w:ascii="黑体" w:hAnsi="黑体" w:eastAsia="黑体" w:cs="黑体"/>
          <w:color w:val="auto"/>
          <w:spacing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pacing w:val="0"/>
          <w:sz w:val="32"/>
          <w:szCs w:val="32"/>
          <w:lang w:eastAsia="zh-CN"/>
        </w:rPr>
        <w:t>三、已合作项目</w:t>
      </w:r>
    </w:p>
    <w:p w14:paraId="737C0148">
      <w:pPr>
        <w:pStyle w:val="3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首批开展租房直付业务的租房运营机构及租房项目详见附件。有意愿参与租房直付业务的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租房运营机构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，可申请与公积金中心合作，共同确定租房直付合作项目。公积金中心将在官网及时公布租房运营机构及项目信息。</w:t>
      </w:r>
    </w:p>
    <w:p w14:paraId="0095B2AF">
      <w:pPr>
        <w:pStyle w:val="3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</w:rPr>
        <w:t>本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通知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自公布之日起施行，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有效期5年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7B146835">
      <w:pPr>
        <w:pStyle w:val="3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p w14:paraId="1A19D3A5">
      <w:pPr>
        <w:pStyle w:val="3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附件：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 xml:space="preserve">租房运营机构及租房直付项目信息表         </w:t>
      </w:r>
    </w:p>
    <w:p w14:paraId="79CDCDF3">
      <w:pPr>
        <w:pStyle w:val="3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</w:pPr>
    </w:p>
    <w:p w14:paraId="62A25436">
      <w:pPr>
        <w:pStyle w:val="3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 xml:space="preserve">                         长沙住房公积金管理中心</w:t>
      </w:r>
    </w:p>
    <w:p w14:paraId="6A0D6A00">
      <w:pPr>
        <w:pStyle w:val="3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 xml:space="preserve">                             2025年12月8日</w:t>
      </w:r>
    </w:p>
    <w:p w14:paraId="4CC693A1">
      <w:pPr>
        <w:pStyle w:val="3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ind w:firstLine="640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</w:p>
    <w:p w14:paraId="72B4FDD0">
      <w:pPr>
        <w:pStyle w:val="2"/>
        <w:keepNext w:val="0"/>
        <w:keepLines w:val="0"/>
        <w:pageBreakBefore w:val="0"/>
        <w:widowControl w:val="0"/>
        <w:wordWrap/>
        <w:overflowPunct/>
        <w:topLinePunct w:val="0"/>
        <w:bidi w:val="0"/>
        <w:rPr>
          <w:color w:val="auto"/>
        </w:rPr>
      </w:pPr>
    </w:p>
    <w:p w14:paraId="381F1ECC">
      <w:pPr>
        <w:pStyle w:val="2"/>
        <w:keepNext w:val="0"/>
        <w:keepLines w:val="0"/>
        <w:pageBreakBefore w:val="0"/>
        <w:widowControl w:val="0"/>
        <w:wordWrap/>
        <w:overflowPunct/>
        <w:topLinePunct w:val="0"/>
        <w:bidi w:val="0"/>
        <w:rPr>
          <w:color w:val="auto"/>
        </w:rPr>
      </w:pPr>
    </w:p>
    <w:p w14:paraId="6BACF474">
      <w:pPr>
        <w:pStyle w:val="2"/>
        <w:keepNext w:val="0"/>
        <w:keepLines w:val="0"/>
        <w:pageBreakBefore w:val="0"/>
        <w:widowControl w:val="0"/>
        <w:wordWrap/>
        <w:overflowPunct/>
        <w:topLinePunct w:val="0"/>
        <w:bidi w:val="0"/>
        <w:rPr>
          <w:color w:val="auto"/>
        </w:rPr>
      </w:pPr>
    </w:p>
    <w:p w14:paraId="20173D7F">
      <w:pPr>
        <w:pStyle w:val="2"/>
        <w:keepNext w:val="0"/>
        <w:keepLines w:val="0"/>
        <w:pageBreakBefore w:val="0"/>
        <w:widowControl w:val="0"/>
        <w:wordWrap/>
        <w:overflowPunct/>
        <w:topLinePunct w:val="0"/>
        <w:bidi w:val="0"/>
        <w:rPr>
          <w:color w:val="auto"/>
        </w:rPr>
      </w:pPr>
    </w:p>
    <w:p w14:paraId="7CE83B4D">
      <w:pPr>
        <w:pStyle w:val="2"/>
        <w:keepNext w:val="0"/>
        <w:keepLines w:val="0"/>
        <w:pageBreakBefore w:val="0"/>
        <w:widowControl w:val="0"/>
        <w:wordWrap/>
        <w:overflowPunct/>
        <w:topLinePunct w:val="0"/>
        <w:bidi w:val="0"/>
        <w:rPr>
          <w:color w:val="auto"/>
        </w:rPr>
      </w:pPr>
    </w:p>
    <w:p w14:paraId="15E80269">
      <w:pPr>
        <w:pStyle w:val="2"/>
        <w:keepNext w:val="0"/>
        <w:keepLines w:val="0"/>
        <w:pageBreakBefore w:val="0"/>
        <w:widowControl w:val="0"/>
        <w:wordWrap/>
        <w:overflowPunct/>
        <w:topLinePunct w:val="0"/>
        <w:bidi w:val="0"/>
        <w:rPr>
          <w:color w:val="auto"/>
        </w:rPr>
      </w:pPr>
    </w:p>
    <w:p w14:paraId="7C8A5F10"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52"/>
          <w:lang w:eastAsia="zh-CN"/>
        </w:rPr>
      </w:pPr>
    </w:p>
    <w:p w14:paraId="66309E79"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52"/>
          <w:lang w:eastAsia="zh-CN"/>
        </w:rPr>
      </w:pPr>
    </w:p>
    <w:p w14:paraId="0FCAC73B"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52"/>
          <w:lang w:eastAsia="zh-CN"/>
        </w:rPr>
      </w:pPr>
    </w:p>
    <w:p w14:paraId="5A818900"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52"/>
          <w:lang w:eastAsia="zh-CN"/>
        </w:rPr>
      </w:pPr>
    </w:p>
    <w:p w14:paraId="064201A4"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52"/>
          <w:lang w:eastAsia="zh-CN"/>
        </w:rPr>
      </w:pPr>
    </w:p>
    <w:p w14:paraId="5734AB80"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52"/>
          <w:lang w:eastAsia="zh-CN"/>
        </w:rPr>
      </w:pPr>
    </w:p>
    <w:p w14:paraId="23A47939"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52"/>
          <w:lang w:eastAsia="zh-CN"/>
        </w:rPr>
      </w:pPr>
    </w:p>
    <w:p w14:paraId="31BA426B"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52"/>
          <w:lang w:eastAsia="zh-CN"/>
        </w:rPr>
      </w:pPr>
    </w:p>
    <w:p w14:paraId="35A58C6E"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52"/>
          <w:lang w:eastAsia="zh-CN"/>
        </w:rPr>
      </w:pPr>
    </w:p>
    <w:p w14:paraId="2795CCDA"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52"/>
          <w:lang w:eastAsia="zh-CN"/>
        </w:rPr>
      </w:pPr>
    </w:p>
    <w:p w14:paraId="1A61180E"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52"/>
          <w:lang w:eastAsia="zh-CN"/>
        </w:rPr>
      </w:pPr>
    </w:p>
    <w:p w14:paraId="7AA9BC39"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52"/>
          <w:lang w:eastAsia="zh-CN"/>
        </w:rPr>
      </w:pPr>
    </w:p>
    <w:p w14:paraId="45C5BD4F"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52"/>
          <w:lang w:eastAsia="zh-CN"/>
        </w:rPr>
      </w:pPr>
    </w:p>
    <w:p w14:paraId="70FFF705"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240" w:lineRule="auto"/>
        <w:jc w:val="left"/>
        <w:rPr>
          <w:rFonts w:hint="eastAsia" w:ascii="方正小标宋简体" w:hAnsi="方正小标宋简体" w:eastAsia="方正小标宋简体" w:cs="方正小标宋简体"/>
          <w:color w:val="auto"/>
          <w:sz w:val="44"/>
          <w:szCs w:val="5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</w:p>
    <w:p w14:paraId="084EAACB"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72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52"/>
          <w:lang w:eastAsia="zh-CN"/>
        </w:rPr>
      </w:pPr>
    </w:p>
    <w:p w14:paraId="47A29EE0"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72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5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52"/>
          <w:lang w:eastAsia="zh-CN"/>
        </w:rPr>
        <w:t>租房运营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52"/>
        </w:rPr>
        <w:t>机构及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52"/>
          <w:lang w:eastAsia="zh-CN"/>
        </w:rPr>
        <w:t>租房直付项目信息表</w:t>
      </w:r>
    </w:p>
    <w:p w14:paraId="2E9199F6"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72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52"/>
          <w:lang w:eastAsia="zh-CN"/>
        </w:rPr>
      </w:pPr>
    </w:p>
    <w:tbl>
      <w:tblPr>
        <w:tblStyle w:val="7"/>
        <w:tblW w:w="81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8"/>
        <w:gridCol w:w="2121"/>
        <w:gridCol w:w="1228"/>
        <w:gridCol w:w="4002"/>
      </w:tblGrid>
      <w:tr w14:paraId="33FDB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788" w:type="dxa"/>
            <w:vAlign w:val="center"/>
          </w:tcPr>
          <w:p w14:paraId="4D221BE6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2121" w:type="dxa"/>
            <w:vAlign w:val="center"/>
          </w:tcPr>
          <w:p w14:paraId="2ADB9B81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企业名称</w:t>
            </w:r>
          </w:p>
        </w:tc>
        <w:tc>
          <w:tcPr>
            <w:tcW w:w="1228" w:type="dxa"/>
            <w:vAlign w:val="center"/>
          </w:tcPr>
          <w:p w14:paraId="2C1EDC18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房屋类型</w:t>
            </w:r>
          </w:p>
        </w:tc>
        <w:tc>
          <w:tcPr>
            <w:tcW w:w="4002" w:type="dxa"/>
            <w:vAlign w:val="center"/>
          </w:tcPr>
          <w:p w14:paraId="46E4F31A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eastAsia="zh-CN"/>
              </w:rPr>
              <w:t>项目名称</w:t>
            </w:r>
          </w:p>
        </w:tc>
      </w:tr>
      <w:tr w14:paraId="781CB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  <w:jc w:val="center"/>
        </w:trPr>
        <w:tc>
          <w:tcPr>
            <w:tcW w:w="788" w:type="dxa"/>
            <w:vAlign w:val="center"/>
          </w:tcPr>
          <w:p w14:paraId="3FC4B429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</w:t>
            </w:r>
          </w:p>
        </w:tc>
        <w:tc>
          <w:tcPr>
            <w:tcW w:w="2121" w:type="dxa"/>
            <w:vAlign w:val="center"/>
          </w:tcPr>
          <w:p w14:paraId="3E7AF930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长沙恒志房地产开发有限公司星雅韵公寓分公司</w:t>
            </w:r>
          </w:p>
        </w:tc>
        <w:tc>
          <w:tcPr>
            <w:tcW w:w="1228" w:type="dxa"/>
            <w:vAlign w:val="center"/>
          </w:tcPr>
          <w:p w14:paraId="6795832B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保障性</w:t>
            </w:r>
          </w:p>
          <w:p w14:paraId="276522B1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租赁住房</w:t>
            </w:r>
          </w:p>
        </w:tc>
        <w:tc>
          <w:tcPr>
            <w:tcW w:w="4002" w:type="dxa"/>
            <w:vAlign w:val="center"/>
          </w:tcPr>
          <w:p w14:paraId="5A0C0721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恒伟·星家公寓</w:t>
            </w:r>
          </w:p>
        </w:tc>
      </w:tr>
      <w:tr w14:paraId="562C0D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  <w:jc w:val="center"/>
        </w:trPr>
        <w:tc>
          <w:tcPr>
            <w:tcW w:w="788" w:type="dxa"/>
            <w:vAlign w:val="center"/>
          </w:tcPr>
          <w:p w14:paraId="71775C74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</w:t>
            </w:r>
          </w:p>
        </w:tc>
        <w:tc>
          <w:tcPr>
            <w:tcW w:w="2121" w:type="dxa"/>
            <w:vAlign w:val="center"/>
          </w:tcPr>
          <w:p w14:paraId="2B1E13B7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长沙恒志房地产开发有限公司星中心公寓分公司</w:t>
            </w:r>
          </w:p>
        </w:tc>
        <w:tc>
          <w:tcPr>
            <w:tcW w:w="1228" w:type="dxa"/>
            <w:vAlign w:val="center"/>
          </w:tcPr>
          <w:p w14:paraId="61A0B753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保障性</w:t>
            </w:r>
          </w:p>
          <w:p w14:paraId="13EEDF6E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租赁住房</w:t>
            </w:r>
          </w:p>
        </w:tc>
        <w:tc>
          <w:tcPr>
            <w:tcW w:w="4002" w:type="dxa"/>
            <w:vAlign w:val="center"/>
          </w:tcPr>
          <w:p w14:paraId="79FFC9B4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长沙雅遇公寓</w:t>
            </w:r>
          </w:p>
          <w:p w14:paraId="08ADFFB0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（恒伟星中心）</w:t>
            </w:r>
          </w:p>
        </w:tc>
      </w:tr>
      <w:tr w14:paraId="38E97A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788" w:type="dxa"/>
            <w:vAlign w:val="center"/>
          </w:tcPr>
          <w:p w14:paraId="473F8144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121" w:type="dxa"/>
            <w:vAlign w:val="center"/>
          </w:tcPr>
          <w:p w14:paraId="70F4A400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长沙城发恒坤置业有限公司公寓分公司</w:t>
            </w:r>
          </w:p>
        </w:tc>
        <w:tc>
          <w:tcPr>
            <w:tcW w:w="1228" w:type="dxa"/>
            <w:vAlign w:val="center"/>
          </w:tcPr>
          <w:p w14:paraId="4E17FB2E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保障性</w:t>
            </w:r>
          </w:p>
          <w:p w14:paraId="75E47436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租赁住房</w:t>
            </w:r>
          </w:p>
        </w:tc>
        <w:tc>
          <w:tcPr>
            <w:tcW w:w="4002" w:type="dxa"/>
            <w:vAlign w:val="center"/>
          </w:tcPr>
          <w:p w14:paraId="4B97D8A1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长沙雅遇公寓</w:t>
            </w:r>
          </w:p>
          <w:p w14:paraId="66A82919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恒伟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东风映）</w:t>
            </w:r>
          </w:p>
        </w:tc>
      </w:tr>
      <w:tr w14:paraId="4DBF59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  <w:jc w:val="center"/>
        </w:trPr>
        <w:tc>
          <w:tcPr>
            <w:tcW w:w="788" w:type="dxa"/>
            <w:vAlign w:val="center"/>
          </w:tcPr>
          <w:p w14:paraId="15B6A8AD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121" w:type="dxa"/>
            <w:vAlign w:val="center"/>
          </w:tcPr>
          <w:p w14:paraId="7BA9A3ED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长沙城发恒晟置业有限公司公寓分公司</w:t>
            </w:r>
          </w:p>
        </w:tc>
        <w:tc>
          <w:tcPr>
            <w:tcW w:w="1228" w:type="dxa"/>
            <w:vAlign w:val="center"/>
          </w:tcPr>
          <w:p w14:paraId="60082E5E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保障性</w:t>
            </w:r>
          </w:p>
          <w:p w14:paraId="4ADCDC72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租赁住房</w:t>
            </w:r>
          </w:p>
        </w:tc>
        <w:tc>
          <w:tcPr>
            <w:tcW w:w="4002" w:type="dxa"/>
            <w:vAlign w:val="center"/>
          </w:tcPr>
          <w:p w14:paraId="31F7B76A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长沙雅院滨江酒店公寓</w:t>
            </w:r>
          </w:p>
        </w:tc>
      </w:tr>
      <w:tr w14:paraId="691972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788" w:type="dxa"/>
            <w:vAlign w:val="center"/>
          </w:tcPr>
          <w:p w14:paraId="0E4B2AF8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121" w:type="dxa"/>
            <w:vAlign w:val="center"/>
          </w:tcPr>
          <w:p w14:paraId="07CB2382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长沙长房住房租赁发展有限公司</w:t>
            </w:r>
          </w:p>
        </w:tc>
        <w:tc>
          <w:tcPr>
            <w:tcW w:w="1228" w:type="dxa"/>
            <w:vAlign w:val="center"/>
          </w:tcPr>
          <w:p w14:paraId="5F129DCA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公共租赁住房</w:t>
            </w:r>
          </w:p>
        </w:tc>
        <w:tc>
          <w:tcPr>
            <w:tcW w:w="4002" w:type="dxa"/>
            <w:vAlign w:val="center"/>
          </w:tcPr>
          <w:p w14:paraId="6D9A466D"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长房云西府、长房云尚公馆、长房东旭花园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、八方小区F2政府雇员公寓</w:t>
            </w:r>
          </w:p>
        </w:tc>
      </w:tr>
    </w:tbl>
    <w:p w14:paraId="0CEB165E">
      <w:pPr>
        <w:pStyle w:val="2"/>
        <w:keepNext w:val="0"/>
        <w:keepLines w:val="0"/>
        <w:pageBreakBefore w:val="0"/>
        <w:widowControl w:val="0"/>
        <w:wordWrap/>
        <w:overflowPunct/>
        <w:topLinePunct w:val="0"/>
        <w:bidi w:val="0"/>
        <w:ind w:left="0" w:leftChars="0" w:firstLine="0" w:firstLineChars="0"/>
        <w:rPr>
          <w:color w:val="auto"/>
        </w:rPr>
      </w:pPr>
    </w:p>
    <w:p w14:paraId="0E1C7676">
      <w:pPr>
        <w:pStyle w:val="2"/>
        <w:keepNext w:val="0"/>
        <w:keepLines w:val="0"/>
        <w:pageBreakBefore w:val="0"/>
        <w:widowControl w:val="0"/>
        <w:wordWrap/>
        <w:overflowPunct/>
        <w:topLinePunct w:val="0"/>
        <w:bidi w:val="0"/>
        <w:ind w:left="0" w:leftChars="0" w:firstLine="0" w:firstLineChars="0"/>
        <w:rPr>
          <w:color w:val="auto"/>
        </w:rPr>
      </w:pPr>
    </w:p>
    <w:p w14:paraId="24501F44">
      <w:pPr>
        <w:pStyle w:val="2"/>
        <w:keepNext w:val="0"/>
        <w:keepLines w:val="0"/>
        <w:pageBreakBefore w:val="0"/>
        <w:widowControl w:val="0"/>
        <w:wordWrap/>
        <w:overflowPunct/>
        <w:topLinePunct w:val="0"/>
        <w:bidi w:val="0"/>
        <w:ind w:left="0" w:leftChars="0" w:firstLine="0" w:firstLineChars="0"/>
        <w:rPr>
          <w:color w:val="auto"/>
        </w:rPr>
      </w:pPr>
    </w:p>
    <w:p w14:paraId="58CB9215">
      <w:pPr>
        <w:pStyle w:val="2"/>
        <w:keepNext w:val="0"/>
        <w:keepLines w:val="0"/>
        <w:pageBreakBefore w:val="0"/>
        <w:widowControl w:val="0"/>
        <w:wordWrap/>
        <w:overflowPunct/>
        <w:topLinePunct w:val="0"/>
        <w:bidi w:val="0"/>
        <w:ind w:left="0" w:leftChars="0" w:firstLine="0" w:firstLineChars="0"/>
        <w:rPr>
          <w:color w:val="auto"/>
        </w:rPr>
      </w:pPr>
    </w:p>
    <w:p w14:paraId="22BD2D62">
      <w:pPr>
        <w:pStyle w:val="2"/>
        <w:keepNext w:val="0"/>
        <w:keepLines w:val="0"/>
        <w:pageBreakBefore w:val="0"/>
        <w:widowControl w:val="0"/>
        <w:wordWrap/>
        <w:overflowPunct/>
        <w:topLinePunct w:val="0"/>
        <w:bidi w:val="0"/>
        <w:ind w:left="0" w:leftChars="0" w:firstLine="0" w:firstLineChars="0"/>
        <w:rPr>
          <w:color w:val="auto"/>
        </w:rPr>
      </w:pPr>
    </w:p>
    <w:p w14:paraId="2085291E">
      <w:pPr>
        <w:pStyle w:val="2"/>
        <w:keepNext w:val="0"/>
        <w:keepLines w:val="0"/>
        <w:pageBreakBefore w:val="0"/>
        <w:widowControl w:val="0"/>
        <w:wordWrap/>
        <w:overflowPunct/>
        <w:topLinePunct w:val="0"/>
        <w:bidi w:val="0"/>
        <w:ind w:left="0" w:leftChars="0" w:firstLine="0" w:firstLineChars="0"/>
        <w:rPr>
          <w:color w:val="auto"/>
        </w:rPr>
      </w:pPr>
    </w:p>
    <w:p w14:paraId="52249EE8">
      <w:pPr>
        <w:pStyle w:val="2"/>
        <w:keepNext w:val="0"/>
        <w:keepLines w:val="0"/>
        <w:pageBreakBefore w:val="0"/>
        <w:widowControl w:val="0"/>
        <w:wordWrap/>
        <w:overflowPunct/>
        <w:topLinePunct w:val="0"/>
        <w:bidi w:val="0"/>
        <w:ind w:left="0" w:leftChars="0" w:firstLine="0" w:firstLineChars="0"/>
        <w:rPr>
          <w:color w:val="auto"/>
        </w:rPr>
      </w:pPr>
    </w:p>
    <w:p w14:paraId="2140CFEE">
      <w:pPr>
        <w:pStyle w:val="2"/>
        <w:keepNext w:val="0"/>
        <w:keepLines w:val="0"/>
        <w:pageBreakBefore w:val="0"/>
        <w:widowControl w:val="0"/>
        <w:wordWrap/>
        <w:overflowPunct/>
        <w:topLinePunct w:val="0"/>
        <w:bidi w:val="0"/>
        <w:ind w:left="0" w:leftChars="0" w:firstLine="0" w:firstLineChars="0"/>
        <w:rPr>
          <w:color w:val="auto"/>
        </w:rPr>
      </w:pPr>
    </w:p>
    <w:p w14:paraId="5AC19570">
      <w:pPr>
        <w:pStyle w:val="2"/>
        <w:keepNext w:val="0"/>
        <w:keepLines w:val="0"/>
        <w:pageBreakBefore w:val="0"/>
        <w:widowControl w:val="0"/>
        <w:wordWrap/>
        <w:overflowPunct/>
        <w:topLinePunct w:val="0"/>
        <w:bidi w:val="0"/>
        <w:ind w:left="0" w:leftChars="0" w:firstLine="0" w:firstLineChars="0"/>
        <w:rPr>
          <w:color w:val="auto"/>
        </w:rPr>
      </w:pPr>
    </w:p>
    <w:p w14:paraId="448940B8">
      <w:pPr>
        <w:pStyle w:val="2"/>
        <w:keepNext w:val="0"/>
        <w:keepLines w:val="0"/>
        <w:pageBreakBefore w:val="0"/>
        <w:widowControl w:val="0"/>
        <w:wordWrap/>
        <w:overflowPunct/>
        <w:topLinePunct w:val="0"/>
        <w:bidi w:val="0"/>
        <w:ind w:left="0" w:leftChars="0" w:firstLine="0" w:firstLineChars="0"/>
        <w:rPr>
          <w:color w:val="auto"/>
        </w:rPr>
      </w:pPr>
    </w:p>
    <w:p w14:paraId="5F6A3030">
      <w:pPr>
        <w:pStyle w:val="2"/>
        <w:keepNext w:val="0"/>
        <w:keepLines w:val="0"/>
        <w:pageBreakBefore w:val="0"/>
        <w:widowControl w:val="0"/>
        <w:wordWrap/>
        <w:overflowPunct/>
        <w:topLinePunct w:val="0"/>
        <w:bidi w:val="0"/>
        <w:ind w:left="0" w:leftChars="0" w:firstLine="0" w:firstLineChars="0"/>
        <w:rPr>
          <w:color w:val="auto"/>
        </w:rPr>
      </w:pPr>
    </w:p>
    <w:p w14:paraId="3AFE5892">
      <w:pPr>
        <w:pStyle w:val="2"/>
        <w:keepNext w:val="0"/>
        <w:keepLines w:val="0"/>
        <w:pageBreakBefore w:val="0"/>
        <w:widowControl w:val="0"/>
        <w:wordWrap/>
        <w:overflowPunct/>
        <w:topLinePunct w:val="0"/>
        <w:bidi w:val="0"/>
        <w:ind w:left="0" w:leftChars="0" w:firstLine="0" w:firstLineChars="0"/>
        <w:rPr>
          <w:color w:val="auto"/>
        </w:rPr>
      </w:pPr>
    </w:p>
    <w:p w14:paraId="04F32F88">
      <w:pPr>
        <w:pStyle w:val="2"/>
        <w:keepNext w:val="0"/>
        <w:keepLines w:val="0"/>
        <w:pageBreakBefore w:val="0"/>
        <w:widowControl w:val="0"/>
        <w:wordWrap/>
        <w:overflowPunct/>
        <w:topLinePunct w:val="0"/>
        <w:bidi w:val="0"/>
        <w:ind w:left="0" w:leftChars="0" w:firstLine="0" w:firstLineChars="0"/>
        <w:rPr>
          <w:color w:val="auto"/>
        </w:rPr>
      </w:pPr>
    </w:p>
    <w:p w14:paraId="7EADA50F">
      <w:pPr>
        <w:keepNext w:val="0"/>
        <w:keepLines w:val="0"/>
        <w:pageBreakBefore w:val="0"/>
        <w:widowControl w:val="0"/>
        <w:pBdr>
          <w:top w:val="single" w:color="auto" w:sz="6" w:space="0"/>
          <w:bottom w:val="single" w:color="auto" w:sz="6" w:space="1"/>
        </w:pBdr>
        <w:wordWrap/>
        <w:overflowPunct/>
        <w:topLinePunct w:val="0"/>
        <w:autoSpaceDN/>
        <w:bidi w:val="0"/>
        <w:adjustRightInd/>
        <w:spacing w:line="500" w:lineRule="exact"/>
        <w:ind w:firstLine="140" w:firstLineChars="50"/>
        <w:jc w:val="left"/>
        <w:rPr>
          <w:color w:val="auto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长沙住房公积金管理中心办公室             202</w:t>
      </w:r>
      <w:r>
        <w:rPr>
          <w:rFonts w:hint="default" w:ascii="仿宋_GB2312" w:hAnsi="宋体" w:eastAsia="仿宋_GB2312"/>
          <w:color w:val="000000"/>
          <w:sz w:val="28"/>
          <w:szCs w:val="28"/>
          <w:lang w:val="en"/>
        </w:rPr>
        <w:t>5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年</w:t>
      </w:r>
      <w:r>
        <w:rPr>
          <w:rFonts w:hint="eastAsia" w:ascii="仿宋_GB2312" w:hAnsi="宋体" w:eastAsia="仿宋_GB2312"/>
          <w:color w:val="000000"/>
          <w:sz w:val="28"/>
          <w:szCs w:val="28"/>
          <w:lang w:val="en-US" w:eastAsia="zh-CN"/>
        </w:rPr>
        <w:t>12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月</w:t>
      </w:r>
      <w:r>
        <w:rPr>
          <w:rFonts w:hint="eastAsia" w:ascii="仿宋_GB2312" w:hAnsi="宋体"/>
          <w:color w:val="000000"/>
          <w:sz w:val="28"/>
          <w:szCs w:val="28"/>
          <w:lang w:val="en-US" w:eastAsia="zh-CN"/>
        </w:rPr>
        <w:t>8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日印发</w:t>
      </w:r>
    </w:p>
    <w:sectPr>
      <w:footerReference r:id="rId3" w:type="default"/>
      <w:pgSz w:w="11906" w:h="16838"/>
      <w:pgMar w:top="1701" w:right="1474" w:bottom="1474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5BD95C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63A91E4">
                          <w:pPr>
                            <w:pStyle w:val="5"/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63A91E4">
                    <w:pPr>
                      <w:pStyle w:val="5"/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F67846"/>
    <w:multiLevelType w:val="singleLevel"/>
    <w:tmpl w:val="33F6784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21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5538C8"/>
    <w:rsid w:val="058C2457"/>
    <w:rsid w:val="06F75620"/>
    <w:rsid w:val="09C249C6"/>
    <w:rsid w:val="0E9922BE"/>
    <w:rsid w:val="15787CBA"/>
    <w:rsid w:val="16556CA4"/>
    <w:rsid w:val="173746D0"/>
    <w:rsid w:val="22A62B81"/>
    <w:rsid w:val="22D34FE4"/>
    <w:rsid w:val="2B1613F6"/>
    <w:rsid w:val="2EFF56E8"/>
    <w:rsid w:val="37F51A32"/>
    <w:rsid w:val="3FDD6A2B"/>
    <w:rsid w:val="4229233B"/>
    <w:rsid w:val="47EF7C1E"/>
    <w:rsid w:val="48981429"/>
    <w:rsid w:val="4F1E41A5"/>
    <w:rsid w:val="50D78759"/>
    <w:rsid w:val="51F20073"/>
    <w:rsid w:val="544E1C5E"/>
    <w:rsid w:val="5BFE3FDA"/>
    <w:rsid w:val="5E647CA3"/>
    <w:rsid w:val="5EF87A62"/>
    <w:rsid w:val="66220C4E"/>
    <w:rsid w:val="683814C2"/>
    <w:rsid w:val="6B141D9E"/>
    <w:rsid w:val="6B3CCE92"/>
    <w:rsid w:val="6D996C99"/>
    <w:rsid w:val="77EE7CF0"/>
    <w:rsid w:val="7B352AAE"/>
    <w:rsid w:val="7CFDE57D"/>
    <w:rsid w:val="7EFFC0FC"/>
    <w:rsid w:val="CF4B83D4"/>
    <w:rsid w:val="DBFC7B8E"/>
    <w:rsid w:val="EF6E5123"/>
    <w:rsid w:val="EFFBA110"/>
    <w:rsid w:val="FB3B1EE1"/>
    <w:rsid w:val="FFD54197"/>
    <w:rsid w:val="FFE1B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文本首行缩进"/>
    <w:basedOn w:val="3"/>
    <w:qFormat/>
    <w:uiPriority w:val="0"/>
    <w:pPr>
      <w:ind w:firstLine="420" w:firstLineChars="100"/>
    </w:pPr>
    <w:rPr>
      <w:rFonts w:ascii="Times New Roman" w:hAnsi="Times New Roman" w:cs="Times New Roman"/>
      <w:sz w:val="18"/>
      <w:szCs w:val="18"/>
    </w:rPr>
  </w:style>
  <w:style w:type="paragraph" w:styleId="3">
    <w:name w:val="Body Text"/>
    <w:basedOn w:val="1"/>
    <w:semiHidden/>
    <w:qFormat/>
    <w:uiPriority w:val="0"/>
    <w:rPr>
      <w:rFonts w:ascii="微软雅黑" w:hAnsi="微软雅黑" w:eastAsia="微软雅黑" w:cs="微软雅黑"/>
      <w:sz w:val="21"/>
      <w:szCs w:val="21"/>
      <w:lang w:val="en-US" w:eastAsia="en-US"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page numbe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1054</Words>
  <Characters>1071</Characters>
  <Lines>0</Lines>
  <Paragraphs>0</Paragraphs>
  <TotalTime>0</TotalTime>
  <ScaleCrop>false</ScaleCrop>
  <LinksUpToDate>false</LinksUpToDate>
  <CharactersWithSpaces>1149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2025-11-21T20:23:00Z</dcterms:created>
  <dc:creator>Administrator</dc:creator>
  <cp:lastModifiedBy>周雨</cp:lastModifiedBy>
  <cp:lastPrinted>2025-11-26T16:44:00Z</cp:lastPrinted>
  <dcterms:modified xsi:type="dcterms:W3CDTF">2025-12-08T07:13:46Z</dcterms:modified>
  <dc:title>关于开展提取住房公积金直付房租业务的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eyJoZGlkIjoiMzUzZTgyNWM3YzdjNWZlMjBhZDM3ZDI3M2M3MWI3MWQiLCJ1c2VySWQiOiI0NjUyOTA3NzAifQ==</vt:lpwstr>
  </property>
  <property fmtid="{D5CDD505-2E9C-101B-9397-08002B2CF9AE}" pid="4" name="ICV">
    <vt:lpwstr>B8A195058E73429DAD3DE1741A69B2C1_12</vt:lpwstr>
  </property>
</Properties>
</file>