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59FBFD">
      <w:pPr>
        <w:pStyle w:val="7"/>
        <w:spacing w:line="230" w:lineRule="auto"/>
        <w:jc w:val="left"/>
        <w:rPr>
          <w:rFonts w:hint="eastAsia" w:ascii="楷体" w:hAnsi="楷体" w:eastAsia="楷体" w:cs="楷体"/>
          <w:color w:val="000000"/>
          <w:sz w:val="31"/>
          <w:szCs w:val="31"/>
          <w:lang w:val="en-US" w:eastAsia="zh-CN"/>
        </w:rPr>
      </w:pPr>
      <w:r>
        <w:rPr>
          <w:rFonts w:hint="eastAsia" w:ascii="楷体" w:hAnsi="楷体" w:eastAsia="楷体" w:cs="楷体"/>
          <w:color w:val="000000"/>
          <w:sz w:val="31"/>
          <w:szCs w:val="31"/>
          <w:lang w:val="en-US" w:eastAsia="zh-CN"/>
        </w:rPr>
        <w:drawing>
          <wp:inline distT="0" distB="0" distL="114300" distR="114300">
            <wp:extent cx="5583555" cy="8634730"/>
            <wp:effectExtent l="0" t="0" r="17145" b="13970"/>
            <wp:docPr id="1" name="图片 1" descr="微信图片_20250425134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50425134916"/>
                    <pic:cNvPicPr>
                      <a:picLocks noChangeAspect="1"/>
                    </pic:cNvPicPr>
                  </pic:nvPicPr>
                  <pic:blipFill>
                    <a:blip r:embed="rId4"/>
                    <a:stretch>
                      <a:fillRect/>
                    </a:stretch>
                  </pic:blipFill>
                  <pic:spPr>
                    <a:xfrm>
                      <a:off x="0" y="0"/>
                      <a:ext cx="5583555" cy="8634730"/>
                    </a:xfrm>
                    <a:prstGeom prst="rect">
                      <a:avLst/>
                    </a:prstGeom>
                    <a:noFill/>
                    <a:ln>
                      <a:noFill/>
                    </a:ln>
                  </pic:spPr>
                </pic:pic>
              </a:graphicData>
            </a:graphic>
          </wp:inline>
        </w:drawing>
      </w:r>
    </w:p>
    <w:p w14:paraId="1AAE559D">
      <w:pPr>
        <w:widowControl/>
        <w:spacing w:line="240" w:lineRule="auto"/>
        <w:jc w:val="left"/>
        <w:rPr>
          <w:rFonts w:hint="default" w:ascii="仿宋" w:hAnsi="仿宋" w:eastAsia="仿宋" w:cs="仿宋_GB2312"/>
          <w:sz w:val="32"/>
          <w:szCs w:val="32"/>
          <w:highlight w:val="none"/>
          <w:lang w:val="en-US" w:eastAsia="zh-CN"/>
        </w:rPr>
        <w:sectPr>
          <w:pgSz w:w="11906" w:h="16838"/>
          <w:pgMar w:top="1702" w:right="1800" w:bottom="1843" w:left="1800" w:header="851" w:footer="992" w:gutter="0"/>
          <w:pgNumType w:fmt="decimal"/>
          <w:cols w:space="720" w:num="1"/>
          <w:docGrid w:type="lines" w:linePitch="312" w:charSpace="0"/>
        </w:sectPr>
      </w:pPr>
    </w:p>
    <w:p w14:paraId="08A7A340">
      <w:pPr>
        <w:pStyle w:val="7"/>
        <w:spacing w:line="281" w:lineRule="auto"/>
        <w:jc w:val="left"/>
        <w:rPr>
          <w:rFonts w:ascii="Arial"/>
          <w:color w:val="000000"/>
          <w:sz w:val="21"/>
          <w:lang w:val="en-US" w:eastAsia="en-US"/>
        </w:rPr>
      </w:pPr>
    </w:p>
    <w:p w14:paraId="07C66CEE">
      <w:pPr>
        <w:pStyle w:val="7"/>
        <w:spacing w:line="282" w:lineRule="auto"/>
        <w:jc w:val="left"/>
        <w:rPr>
          <w:rFonts w:ascii="Arial"/>
          <w:color w:val="000000"/>
          <w:sz w:val="21"/>
          <w:lang w:val="en-US" w:eastAsia="en-US"/>
        </w:rPr>
      </w:pPr>
    </w:p>
    <w:p w14:paraId="647A68AF">
      <w:pPr>
        <w:pStyle w:val="7"/>
        <w:spacing w:line="282" w:lineRule="auto"/>
        <w:jc w:val="left"/>
        <w:rPr>
          <w:rFonts w:ascii="Arial"/>
          <w:color w:val="000000"/>
          <w:sz w:val="21"/>
          <w:lang w:val="en-US" w:eastAsia="en-US"/>
        </w:rPr>
      </w:pPr>
    </w:p>
    <w:p w14:paraId="7D1CA57E">
      <w:pPr>
        <w:pStyle w:val="7"/>
        <w:spacing w:line="282" w:lineRule="auto"/>
        <w:jc w:val="left"/>
        <w:rPr>
          <w:rFonts w:ascii="Arial"/>
          <w:color w:val="000000"/>
          <w:sz w:val="21"/>
          <w:lang w:val="en-US" w:eastAsia="en-US"/>
        </w:rPr>
      </w:pPr>
    </w:p>
    <w:p w14:paraId="17272EC1">
      <w:pPr>
        <w:pStyle w:val="7"/>
        <w:spacing w:line="282" w:lineRule="auto"/>
        <w:jc w:val="left"/>
        <w:rPr>
          <w:rFonts w:ascii="Arial"/>
          <w:color w:val="000000"/>
          <w:sz w:val="21"/>
          <w:lang w:val="en-US" w:eastAsia="en-US"/>
        </w:rPr>
      </w:pPr>
    </w:p>
    <w:p w14:paraId="209151ED">
      <w:pPr>
        <w:pStyle w:val="7"/>
        <w:spacing w:before="97" w:line="221" w:lineRule="auto"/>
        <w:ind w:left="674"/>
        <w:jc w:val="left"/>
        <w:outlineLvl w:val="2"/>
        <w:rPr>
          <w:rFonts w:ascii="黑体" w:hAnsi="黑体" w:eastAsia="黑体" w:cs="黑体"/>
          <w:color w:val="000000"/>
          <w:sz w:val="30"/>
          <w:szCs w:val="30"/>
          <w:lang w:val="en-US" w:eastAsia="en-US"/>
        </w:rPr>
      </w:pPr>
      <w:r>
        <w:rPr>
          <w:rFonts w:ascii="黑体" w:hAnsi="黑体" w:eastAsia="黑体" w:cs="黑体"/>
          <w:b/>
          <w:bCs/>
          <w:color w:val="000000"/>
          <w:spacing w:val="9"/>
          <w:sz w:val="30"/>
          <w:szCs w:val="30"/>
          <w:lang w:val="en-US" w:eastAsia="en-US"/>
        </w:rPr>
        <w:t>一、部门概况</w:t>
      </w:r>
    </w:p>
    <w:p w14:paraId="5334C5E6">
      <w:pPr>
        <w:pStyle w:val="7"/>
        <w:spacing w:before="239" w:line="224" w:lineRule="auto"/>
        <w:ind w:left="804"/>
        <w:jc w:val="left"/>
        <w:rPr>
          <w:rFonts w:ascii="楷体" w:hAnsi="楷体" w:eastAsia="楷体" w:cs="楷体"/>
          <w:b/>
          <w:bCs/>
          <w:color w:val="000000"/>
          <w:spacing w:val="25"/>
          <w:sz w:val="32"/>
          <w:szCs w:val="32"/>
          <w:lang w:val="en-US" w:eastAsia="en-US"/>
        </w:rPr>
      </w:pPr>
      <w:r>
        <w:rPr>
          <w:rFonts w:ascii="楷体" w:hAnsi="楷体" w:eastAsia="楷体" w:cs="楷体"/>
          <w:b/>
          <w:bCs/>
          <w:color w:val="000000"/>
          <w:spacing w:val="25"/>
          <w:sz w:val="32"/>
          <w:szCs w:val="32"/>
          <w:lang w:val="en-US" w:eastAsia="en-US"/>
        </w:rPr>
        <w:t>(一)部门基本情况</w:t>
      </w:r>
    </w:p>
    <w:p w14:paraId="5B7985AE">
      <w:pPr>
        <w:pStyle w:val="7"/>
        <w:spacing w:before="246" w:line="350" w:lineRule="auto"/>
        <w:ind w:right="159" w:firstLine="652" w:firstLineChars="200"/>
        <w:jc w:val="both"/>
        <w:rPr>
          <w:rFonts w:hint="default" w:ascii="Times New Roman" w:hAnsi="Times New Roman" w:eastAsia="仿宋" w:cs="Times New Roman"/>
          <w:color w:val="000000"/>
          <w:spacing w:val="3"/>
          <w:sz w:val="32"/>
          <w:szCs w:val="32"/>
          <w:lang w:val="en-US" w:eastAsia="zh-CN"/>
        </w:rPr>
      </w:pPr>
      <w:r>
        <w:rPr>
          <w:rFonts w:hint="default" w:ascii="Times New Roman" w:hAnsi="Times New Roman" w:eastAsia="仿宋" w:cs="Times New Roman"/>
          <w:color w:val="000000"/>
          <w:spacing w:val="3"/>
          <w:sz w:val="32"/>
          <w:szCs w:val="32"/>
          <w:lang w:val="en-US" w:eastAsia="en-US"/>
        </w:rPr>
        <w:t>负责本行政区域内生态和环境的统筹协调和监督管理。</w:t>
      </w:r>
      <w:r>
        <w:rPr>
          <w:rFonts w:hint="default" w:ascii="Times New Roman" w:hAnsi="Times New Roman" w:eastAsia="仿宋" w:cs="Times New Roman"/>
          <w:color w:val="000000"/>
          <w:spacing w:val="3"/>
          <w:sz w:val="32"/>
          <w:szCs w:val="32"/>
          <w:lang w:val="en-US" w:eastAsia="zh-CN"/>
        </w:rPr>
        <w:t>负责落实生态环境有关制度。负责监督管理减排目标的落实。负责环境污染防治的监督管理。指导协调监督和生态保护修复工作。负责核与辐射安全的监督管理。负责生态环境准入的监督管理。组织开展生态环境宣传教育工作。按要求完成市生态环境局安排的工作任务，根据雨花区生态环境保护要求做好相关工作。</w:t>
      </w:r>
    </w:p>
    <w:p w14:paraId="6F95E394">
      <w:pPr>
        <w:pStyle w:val="7"/>
        <w:spacing w:before="104" w:line="357" w:lineRule="auto"/>
        <w:ind w:left="2" w:right="3" w:firstLine="681" w:firstLineChars="209"/>
        <w:jc w:val="left"/>
        <w:rPr>
          <w:rFonts w:hint="default" w:ascii="Times New Roman" w:hAnsi="Times New Roman" w:eastAsia="仿宋" w:cs="Times New Roman"/>
          <w:color w:val="000000"/>
          <w:spacing w:val="-6"/>
          <w:sz w:val="32"/>
          <w:szCs w:val="32"/>
          <w:lang w:val="en-US" w:eastAsia="en-US"/>
        </w:rPr>
      </w:pPr>
      <w:r>
        <w:rPr>
          <w:rFonts w:hint="default" w:ascii="Times New Roman" w:hAnsi="Times New Roman" w:eastAsia="仿宋" w:cs="Times New Roman"/>
          <w:color w:val="000000"/>
          <w:spacing w:val="3"/>
          <w:sz w:val="32"/>
          <w:szCs w:val="32"/>
          <w:lang w:val="en-US" w:eastAsia="en-US"/>
        </w:rPr>
        <w:t>分局核定行政编制</w:t>
      </w:r>
      <w:r>
        <w:rPr>
          <w:rFonts w:hint="default" w:ascii="Times New Roman" w:hAnsi="Times New Roman" w:eastAsia="仿宋" w:cs="Times New Roman"/>
          <w:color w:val="000000"/>
          <w:spacing w:val="-3"/>
          <w:sz w:val="32"/>
          <w:szCs w:val="32"/>
          <w:lang w:val="en-US" w:eastAsia="en-US"/>
        </w:rPr>
        <w:t>数</w:t>
      </w:r>
      <w:r>
        <w:rPr>
          <w:rFonts w:hint="default" w:ascii="Times New Roman" w:hAnsi="Times New Roman" w:eastAsia="仿宋" w:cs="Times New Roman"/>
          <w:color w:val="000000"/>
          <w:spacing w:val="-51"/>
          <w:sz w:val="32"/>
          <w:szCs w:val="32"/>
          <w:lang w:val="en-US" w:eastAsia="zh-CN"/>
        </w:rPr>
        <w:t>8</w:t>
      </w:r>
      <w:r>
        <w:rPr>
          <w:rFonts w:hint="default" w:ascii="Times New Roman" w:hAnsi="Times New Roman" w:eastAsia="仿宋" w:cs="Times New Roman"/>
          <w:color w:val="000000"/>
          <w:spacing w:val="-3"/>
          <w:sz w:val="32"/>
          <w:szCs w:val="32"/>
          <w:lang w:val="en-US" w:eastAsia="en-US"/>
        </w:rPr>
        <w:t>个，代管长沙市雨花生态环境监测站事业编制</w:t>
      </w:r>
      <w:r>
        <w:rPr>
          <w:rFonts w:hint="default" w:ascii="Times New Roman" w:hAnsi="Times New Roman" w:eastAsia="仿宋" w:cs="Times New Roman"/>
          <w:color w:val="000000"/>
          <w:spacing w:val="-4"/>
          <w:sz w:val="32"/>
          <w:szCs w:val="32"/>
          <w:lang w:val="en-US" w:eastAsia="en-US"/>
        </w:rPr>
        <w:t>数</w:t>
      </w:r>
      <w:r>
        <w:rPr>
          <w:rFonts w:hint="default" w:ascii="Times New Roman" w:hAnsi="Times New Roman" w:eastAsia="仿宋" w:cs="Times New Roman"/>
          <w:color w:val="000000"/>
          <w:spacing w:val="-53"/>
          <w:sz w:val="32"/>
          <w:szCs w:val="32"/>
          <w:lang w:val="en-US" w:eastAsia="en-US"/>
        </w:rPr>
        <w:t xml:space="preserve"> </w:t>
      </w:r>
      <w:r>
        <w:rPr>
          <w:rFonts w:hint="default" w:ascii="Times New Roman" w:hAnsi="Times New Roman" w:eastAsia="仿宋" w:cs="Times New Roman"/>
          <w:color w:val="000000"/>
          <w:spacing w:val="-53"/>
          <w:sz w:val="32"/>
          <w:szCs w:val="32"/>
          <w:lang w:val="en-US" w:eastAsia="zh-CN"/>
        </w:rPr>
        <w:t>9</w:t>
      </w:r>
      <w:r>
        <w:rPr>
          <w:rFonts w:hint="default" w:ascii="Times New Roman" w:hAnsi="Times New Roman" w:eastAsia="仿宋" w:cs="Times New Roman"/>
          <w:color w:val="000000"/>
          <w:spacing w:val="-4"/>
          <w:sz w:val="32"/>
          <w:szCs w:val="32"/>
          <w:lang w:val="en-US" w:eastAsia="en-US"/>
        </w:rPr>
        <w:t>个。至</w:t>
      </w:r>
      <w:r>
        <w:rPr>
          <w:rFonts w:hint="default" w:ascii="Times New Roman" w:hAnsi="Times New Roman" w:eastAsia="仿宋" w:cs="Times New Roman"/>
          <w:color w:val="000000"/>
          <w:sz w:val="32"/>
          <w:szCs w:val="32"/>
          <w:lang w:val="en-US" w:eastAsia="en-US"/>
        </w:rPr>
        <w:t xml:space="preserve"> </w:t>
      </w:r>
      <w:r>
        <w:rPr>
          <w:rFonts w:hint="default" w:ascii="Times New Roman" w:hAnsi="Times New Roman" w:eastAsia="仿宋" w:cs="Times New Roman"/>
          <w:color w:val="000000"/>
          <w:spacing w:val="-4"/>
          <w:sz w:val="32"/>
          <w:szCs w:val="32"/>
          <w:lang w:val="en-US" w:eastAsia="en-US"/>
        </w:rPr>
        <w:t>2024</w:t>
      </w:r>
      <w:r>
        <w:rPr>
          <w:rFonts w:hint="default" w:ascii="Times New Roman" w:hAnsi="Times New Roman" w:eastAsia="仿宋" w:cs="Times New Roman"/>
          <w:color w:val="000000"/>
          <w:spacing w:val="-47"/>
          <w:sz w:val="32"/>
          <w:szCs w:val="32"/>
          <w:lang w:val="en-US" w:eastAsia="en-US"/>
        </w:rPr>
        <w:t xml:space="preserve"> </w:t>
      </w:r>
      <w:r>
        <w:rPr>
          <w:rFonts w:hint="default" w:ascii="Times New Roman" w:hAnsi="Times New Roman" w:eastAsia="仿宋" w:cs="Times New Roman"/>
          <w:color w:val="000000"/>
          <w:spacing w:val="-4"/>
          <w:sz w:val="32"/>
          <w:szCs w:val="32"/>
          <w:lang w:val="en-US" w:eastAsia="en-US"/>
        </w:rPr>
        <w:t>年底，实有干部职工</w:t>
      </w:r>
      <w:r>
        <w:rPr>
          <w:rFonts w:hint="default" w:ascii="Times New Roman" w:hAnsi="Times New Roman" w:eastAsia="仿宋" w:cs="Times New Roman"/>
          <w:color w:val="000000"/>
          <w:spacing w:val="-56"/>
          <w:sz w:val="32"/>
          <w:szCs w:val="32"/>
          <w:lang w:val="en-US" w:eastAsia="en-US"/>
        </w:rPr>
        <w:t xml:space="preserve"> </w:t>
      </w:r>
      <w:r>
        <w:rPr>
          <w:rFonts w:hint="default" w:ascii="Times New Roman" w:hAnsi="Times New Roman" w:eastAsia="仿宋" w:cs="Times New Roman"/>
          <w:color w:val="000000"/>
          <w:spacing w:val="-56"/>
          <w:sz w:val="32"/>
          <w:szCs w:val="32"/>
          <w:lang w:val="en-US" w:eastAsia="zh-CN"/>
        </w:rPr>
        <w:t>26</w:t>
      </w:r>
      <w:r>
        <w:rPr>
          <w:rFonts w:hint="default" w:ascii="Times New Roman" w:hAnsi="Times New Roman" w:eastAsia="仿宋" w:cs="Times New Roman"/>
          <w:color w:val="000000"/>
          <w:spacing w:val="-65"/>
          <w:sz w:val="32"/>
          <w:szCs w:val="32"/>
          <w:lang w:val="en-US" w:eastAsia="en-US"/>
        </w:rPr>
        <w:t xml:space="preserve"> </w:t>
      </w:r>
      <w:r>
        <w:rPr>
          <w:rFonts w:hint="default" w:ascii="Times New Roman" w:hAnsi="Times New Roman" w:eastAsia="仿宋" w:cs="Times New Roman"/>
          <w:color w:val="000000"/>
          <w:spacing w:val="-4"/>
          <w:sz w:val="32"/>
          <w:szCs w:val="32"/>
          <w:lang w:val="en-US" w:eastAsia="en-US"/>
        </w:rPr>
        <w:t>人，其中在职在编</w:t>
      </w:r>
      <w:r>
        <w:rPr>
          <w:rFonts w:hint="default" w:ascii="Times New Roman" w:hAnsi="Times New Roman" w:eastAsia="仿宋" w:cs="Times New Roman"/>
          <w:color w:val="000000"/>
          <w:spacing w:val="-47"/>
          <w:sz w:val="32"/>
          <w:szCs w:val="32"/>
          <w:lang w:val="en-US" w:eastAsia="en-US"/>
        </w:rPr>
        <w:t xml:space="preserve"> </w:t>
      </w:r>
      <w:r>
        <w:rPr>
          <w:rFonts w:hint="default" w:ascii="Times New Roman" w:hAnsi="Times New Roman" w:eastAsia="仿宋" w:cs="Times New Roman"/>
          <w:color w:val="000000"/>
          <w:spacing w:val="-4"/>
          <w:sz w:val="32"/>
          <w:szCs w:val="32"/>
          <w:lang w:val="en-US" w:eastAsia="en-US"/>
        </w:rPr>
        <w:t>17</w:t>
      </w:r>
      <w:r>
        <w:rPr>
          <w:rFonts w:hint="default" w:ascii="Times New Roman" w:hAnsi="Times New Roman" w:eastAsia="仿宋" w:cs="Times New Roman"/>
          <w:color w:val="000000"/>
          <w:spacing w:val="-65"/>
          <w:sz w:val="32"/>
          <w:szCs w:val="32"/>
          <w:lang w:val="en-US" w:eastAsia="en-US"/>
        </w:rPr>
        <w:t xml:space="preserve"> </w:t>
      </w:r>
      <w:r>
        <w:rPr>
          <w:rFonts w:hint="default" w:ascii="Times New Roman" w:hAnsi="Times New Roman" w:eastAsia="仿宋" w:cs="Times New Roman"/>
          <w:color w:val="000000"/>
          <w:spacing w:val="-4"/>
          <w:sz w:val="32"/>
          <w:szCs w:val="32"/>
          <w:lang w:val="en-US" w:eastAsia="en-US"/>
        </w:rPr>
        <w:t>人，</w:t>
      </w:r>
      <w:r>
        <w:rPr>
          <w:rFonts w:hint="default" w:ascii="Times New Roman" w:hAnsi="Times New Roman" w:eastAsia="仿宋" w:cs="Times New Roman"/>
          <w:color w:val="000000"/>
          <w:spacing w:val="-8"/>
          <w:sz w:val="32"/>
          <w:szCs w:val="32"/>
          <w:lang w:val="en-US" w:eastAsia="en-US"/>
        </w:rPr>
        <w:t>退休人员</w:t>
      </w:r>
      <w:r>
        <w:rPr>
          <w:rFonts w:hint="default" w:ascii="Times New Roman" w:hAnsi="Times New Roman" w:eastAsia="仿宋" w:cs="Times New Roman"/>
          <w:color w:val="000000"/>
          <w:spacing w:val="-53"/>
          <w:sz w:val="32"/>
          <w:szCs w:val="32"/>
          <w:lang w:val="en-US" w:eastAsia="en-US"/>
        </w:rPr>
        <w:t xml:space="preserve"> </w:t>
      </w:r>
      <w:r>
        <w:rPr>
          <w:rFonts w:hint="default" w:ascii="Times New Roman" w:hAnsi="Times New Roman" w:eastAsia="仿宋" w:cs="Times New Roman"/>
          <w:color w:val="000000"/>
          <w:spacing w:val="-53"/>
          <w:sz w:val="32"/>
          <w:szCs w:val="32"/>
          <w:lang w:val="en-US" w:eastAsia="zh-CN"/>
        </w:rPr>
        <w:t>9</w:t>
      </w:r>
      <w:r>
        <w:rPr>
          <w:rFonts w:hint="default" w:ascii="Times New Roman" w:hAnsi="Times New Roman" w:eastAsia="仿宋" w:cs="Times New Roman"/>
          <w:color w:val="000000"/>
          <w:spacing w:val="-8"/>
          <w:sz w:val="32"/>
          <w:szCs w:val="32"/>
          <w:lang w:val="en-US" w:eastAsia="en-US"/>
        </w:rPr>
        <w:t>人。单位内设机构包括：</w:t>
      </w:r>
      <w:r>
        <w:rPr>
          <w:rFonts w:hint="default" w:ascii="Times New Roman" w:hAnsi="Times New Roman" w:eastAsia="仿宋" w:cs="Times New Roman"/>
          <w:color w:val="000000"/>
          <w:sz w:val="32"/>
          <w:szCs w:val="32"/>
          <w:lang w:val="en-US" w:eastAsia="en-US"/>
        </w:rPr>
        <w:t xml:space="preserve"> </w:t>
      </w:r>
      <w:r>
        <w:rPr>
          <w:rFonts w:hint="default" w:ascii="Times New Roman" w:hAnsi="Times New Roman" w:eastAsia="仿宋" w:cs="Times New Roman"/>
          <w:color w:val="000000"/>
          <w:spacing w:val="3"/>
          <w:sz w:val="32"/>
          <w:szCs w:val="32"/>
          <w:lang w:val="en-US" w:eastAsia="en-US"/>
        </w:rPr>
        <w:t>办公室，综合协调科，党建人事（纪检监察）科，生态环境管</w:t>
      </w:r>
      <w:r>
        <w:rPr>
          <w:rFonts w:hint="default" w:ascii="Times New Roman" w:hAnsi="Times New Roman" w:eastAsia="仿宋" w:cs="Times New Roman"/>
          <w:color w:val="000000"/>
          <w:sz w:val="32"/>
          <w:szCs w:val="32"/>
          <w:lang w:val="en-US" w:eastAsia="en-US"/>
        </w:rPr>
        <w:t xml:space="preserve"> </w:t>
      </w:r>
      <w:r>
        <w:rPr>
          <w:rFonts w:hint="default" w:ascii="Times New Roman" w:hAnsi="Times New Roman" w:eastAsia="仿宋" w:cs="Times New Roman"/>
          <w:color w:val="000000"/>
          <w:spacing w:val="-6"/>
          <w:sz w:val="32"/>
          <w:szCs w:val="32"/>
          <w:lang w:val="en-US" w:eastAsia="en-US"/>
        </w:rPr>
        <w:t>理科、行政审批和政务服务科</w:t>
      </w:r>
      <w:r>
        <w:rPr>
          <w:rFonts w:hint="default" w:ascii="Times New Roman" w:hAnsi="Times New Roman" w:eastAsia="仿宋" w:cs="Times New Roman"/>
          <w:color w:val="000000"/>
          <w:spacing w:val="-43"/>
          <w:sz w:val="32"/>
          <w:szCs w:val="32"/>
          <w:lang w:val="en-US" w:eastAsia="en-US"/>
        </w:rPr>
        <w:t xml:space="preserve"> </w:t>
      </w:r>
      <w:r>
        <w:rPr>
          <w:rFonts w:hint="default" w:ascii="Times New Roman" w:hAnsi="Times New Roman" w:eastAsia="仿宋" w:cs="Times New Roman"/>
          <w:color w:val="000000"/>
          <w:spacing w:val="-6"/>
          <w:sz w:val="32"/>
          <w:szCs w:val="32"/>
          <w:lang w:val="en-US" w:eastAsia="en-US"/>
        </w:rPr>
        <w:t>5</w:t>
      </w:r>
      <w:r>
        <w:rPr>
          <w:rFonts w:hint="default" w:ascii="Times New Roman" w:hAnsi="Times New Roman" w:eastAsia="仿宋" w:cs="Times New Roman"/>
          <w:color w:val="000000"/>
          <w:spacing w:val="-65"/>
          <w:sz w:val="32"/>
          <w:szCs w:val="32"/>
          <w:lang w:val="en-US" w:eastAsia="en-US"/>
        </w:rPr>
        <w:t xml:space="preserve"> </w:t>
      </w:r>
      <w:r>
        <w:rPr>
          <w:rFonts w:hint="default" w:ascii="Times New Roman" w:hAnsi="Times New Roman" w:eastAsia="仿宋" w:cs="Times New Roman"/>
          <w:color w:val="000000"/>
          <w:spacing w:val="-6"/>
          <w:sz w:val="32"/>
          <w:szCs w:val="32"/>
          <w:lang w:val="en-US" w:eastAsia="en-US"/>
        </w:rPr>
        <w:t>个科室。</w:t>
      </w:r>
    </w:p>
    <w:p w14:paraId="2E1F75B8">
      <w:pPr>
        <w:pStyle w:val="7"/>
        <w:numPr>
          <w:ilvl w:val="0"/>
          <w:numId w:val="1"/>
        </w:numPr>
        <w:spacing w:before="104" w:line="357" w:lineRule="auto"/>
        <w:ind w:left="2" w:right="3" w:firstLine="751" w:firstLineChars="209"/>
        <w:jc w:val="left"/>
        <w:rPr>
          <w:rFonts w:ascii="楷体" w:hAnsi="楷体" w:eastAsia="楷体" w:cs="楷体"/>
          <w:b/>
          <w:bCs/>
          <w:color w:val="000000"/>
          <w:spacing w:val="-5"/>
          <w:sz w:val="30"/>
          <w:szCs w:val="30"/>
          <w:lang w:val="en-US" w:eastAsia="en-US"/>
        </w:rPr>
      </w:pPr>
      <w:r>
        <w:rPr>
          <w:rFonts w:ascii="楷体" w:hAnsi="楷体" w:eastAsia="楷体" w:cs="楷体"/>
          <w:b/>
          <w:bCs/>
          <w:color w:val="000000"/>
          <w:spacing w:val="29"/>
          <w:sz w:val="30"/>
          <w:szCs w:val="30"/>
          <w:lang w:val="en-US" w:eastAsia="en-US"/>
        </w:rPr>
        <w:t>部门整体支出规模、使用方向</w:t>
      </w:r>
      <w:r>
        <w:rPr>
          <w:rFonts w:ascii="楷体" w:hAnsi="楷体" w:eastAsia="楷体" w:cs="楷体"/>
          <w:b/>
          <w:bCs/>
          <w:color w:val="000000"/>
          <w:spacing w:val="28"/>
          <w:sz w:val="30"/>
          <w:szCs w:val="30"/>
          <w:lang w:val="en-US" w:eastAsia="en-US"/>
        </w:rPr>
        <w:t>和主要内容</w:t>
      </w:r>
      <w:r>
        <w:rPr>
          <w:rFonts w:hint="eastAsia" w:ascii="楷体" w:hAnsi="楷体" w:eastAsia="楷体" w:cs="楷体"/>
          <w:b/>
          <w:bCs/>
          <w:color w:val="000000"/>
          <w:spacing w:val="28"/>
          <w:sz w:val="30"/>
          <w:szCs w:val="30"/>
          <w:lang w:val="en-US" w:eastAsia="zh-CN"/>
        </w:rPr>
        <w:t>、</w:t>
      </w:r>
      <w:r>
        <w:rPr>
          <w:rFonts w:ascii="楷体" w:hAnsi="楷体" w:eastAsia="楷体" w:cs="楷体"/>
          <w:b/>
          <w:bCs/>
          <w:color w:val="000000"/>
          <w:spacing w:val="-5"/>
          <w:sz w:val="30"/>
          <w:szCs w:val="30"/>
          <w:lang w:val="en-US" w:eastAsia="en-US"/>
        </w:rPr>
        <w:t>涉及范围等</w:t>
      </w:r>
    </w:p>
    <w:p w14:paraId="188C9498">
      <w:pPr>
        <w:pStyle w:val="7"/>
        <w:spacing w:before="221" w:line="600" w:lineRule="exact"/>
        <w:ind w:firstLine="582" w:firstLineChars="200"/>
        <w:jc w:val="left"/>
        <w:rPr>
          <w:rFonts w:hint="default" w:ascii="Times New Roman" w:hAnsi="Times New Roman" w:eastAsia="仿宋" w:cs="Times New Roman"/>
          <w:color w:val="000000"/>
          <w:spacing w:val="3"/>
          <w:sz w:val="32"/>
          <w:szCs w:val="32"/>
          <w:lang w:val="en-US" w:eastAsia="zh-CN"/>
        </w:rPr>
      </w:pPr>
      <w:r>
        <w:rPr>
          <w:rFonts w:hint="eastAsia" w:ascii="楷体" w:hAnsi="楷体" w:eastAsia="楷体" w:cs="楷体"/>
          <w:b/>
          <w:bCs/>
          <w:color w:val="000000"/>
          <w:spacing w:val="-5"/>
          <w:sz w:val="30"/>
          <w:szCs w:val="30"/>
          <w:lang w:val="en-US" w:eastAsia="zh-CN"/>
        </w:rPr>
        <w:t xml:space="preserve"> </w:t>
      </w:r>
      <w:r>
        <w:rPr>
          <w:rFonts w:hint="eastAsia" w:ascii="Times New Roman" w:hAnsi="Times New Roman" w:eastAsia="仿宋" w:cs="Times New Roman"/>
          <w:color w:val="000000"/>
          <w:spacing w:val="13"/>
          <w:kern w:val="2"/>
          <w:position w:val="21"/>
          <w:sz w:val="32"/>
          <w:szCs w:val="32"/>
          <w:lang w:val="en-US" w:eastAsia="zh-CN" w:bidi="ar-SA"/>
        </w:rPr>
        <w:t>2024年，我局支出1151.45万元（其中，财政拨款收入857.71万元、其他收入293.74万元），比上年减少122.28万元（其中，财政拨款收入减少30.55万元、其他收入减少91.73万元），减少9.6%，变化原因：区级项目经费减少。其中：基本支出完成</w:t>
      </w:r>
      <w:r>
        <w:rPr>
          <w:rFonts w:hint="eastAsia" w:ascii="Times New Roman" w:hAnsi="Times New Roman" w:eastAsia="仿宋" w:cs="Times New Roman"/>
          <w:color w:val="000000"/>
          <w:spacing w:val="13"/>
          <w:kern w:val="2"/>
          <w:position w:val="21"/>
          <w:sz w:val="32"/>
          <w:szCs w:val="32"/>
          <w:highlight w:val="none"/>
          <w:lang w:val="en-US" w:eastAsia="zh-CN" w:bidi="ar-SA"/>
        </w:rPr>
        <w:t>664.81</w:t>
      </w:r>
      <w:r>
        <w:rPr>
          <w:rFonts w:hint="eastAsia" w:ascii="Times New Roman" w:hAnsi="Times New Roman" w:eastAsia="仿宋" w:cs="Times New Roman"/>
          <w:color w:val="000000"/>
          <w:spacing w:val="13"/>
          <w:kern w:val="2"/>
          <w:position w:val="21"/>
          <w:sz w:val="32"/>
          <w:szCs w:val="32"/>
          <w:lang w:val="en-US" w:eastAsia="zh-CN" w:bidi="ar-SA"/>
        </w:rPr>
        <w:t>万元，比上年减少14.74万元，减少2.17%，较上年基本持平。项目支出486.64万元，比上年减少107.53万元，减少18.10%，变化原因：区级项目减少。人员经费完成629.81万元，比上年减少17.07万元，减少2.64%，较上年基本持平。公用经费完成34.99万元，比上年增加2.32万元，增加7.1%。</w:t>
      </w:r>
    </w:p>
    <w:p w14:paraId="144446B2">
      <w:pPr>
        <w:pStyle w:val="7"/>
        <w:spacing w:before="213" w:line="221" w:lineRule="auto"/>
        <w:ind w:left="674"/>
        <w:jc w:val="left"/>
        <w:outlineLvl w:val="1"/>
        <w:rPr>
          <w:rFonts w:ascii="黑体" w:hAnsi="黑体" w:eastAsia="黑体" w:cs="黑体"/>
          <w:color w:val="000000"/>
          <w:sz w:val="32"/>
          <w:szCs w:val="32"/>
          <w:lang w:val="en-US" w:eastAsia="en-US"/>
        </w:rPr>
      </w:pPr>
      <w:r>
        <w:rPr>
          <w:rFonts w:ascii="黑体" w:hAnsi="黑体" w:eastAsia="黑体" w:cs="黑体"/>
          <w:b/>
          <w:bCs/>
          <w:color w:val="000000"/>
          <w:spacing w:val="-8"/>
          <w:sz w:val="32"/>
          <w:szCs w:val="32"/>
          <w:lang w:val="en-US" w:eastAsia="en-US"/>
        </w:rPr>
        <w:t>二、一般公共预算支出情况</w:t>
      </w:r>
    </w:p>
    <w:p w14:paraId="1ED33137">
      <w:pPr>
        <w:pStyle w:val="7"/>
        <w:spacing w:before="226" w:line="225" w:lineRule="auto"/>
        <w:ind w:left="804"/>
        <w:jc w:val="left"/>
        <w:outlineLvl w:val="1"/>
        <w:rPr>
          <w:rFonts w:ascii="楷体" w:hAnsi="楷体" w:eastAsia="楷体" w:cs="楷体"/>
          <w:b/>
          <w:bCs/>
          <w:color w:val="000000"/>
          <w:spacing w:val="19"/>
          <w:sz w:val="32"/>
          <w:szCs w:val="32"/>
          <w:lang w:val="en-US" w:eastAsia="en-US"/>
        </w:rPr>
      </w:pPr>
      <w:r>
        <w:rPr>
          <w:rFonts w:ascii="楷体" w:hAnsi="楷体" w:eastAsia="楷体" w:cs="楷体"/>
          <w:b/>
          <w:bCs/>
          <w:color w:val="000000"/>
          <w:spacing w:val="19"/>
          <w:sz w:val="32"/>
          <w:szCs w:val="32"/>
          <w:lang w:val="en-US" w:eastAsia="en-US"/>
        </w:rPr>
        <w:t>(一)基本支出</w:t>
      </w:r>
    </w:p>
    <w:p w14:paraId="338DAD6D">
      <w:pPr>
        <w:pStyle w:val="7"/>
        <w:spacing w:before="226" w:line="225" w:lineRule="auto"/>
        <w:ind w:firstLine="692" w:firstLineChars="200"/>
        <w:jc w:val="left"/>
        <w:outlineLvl w:val="1"/>
        <w:rPr>
          <w:rFonts w:hint="eastAsia" w:ascii="Times New Roman" w:hAnsi="Times New Roman" w:eastAsia="仿宋" w:cs="Times New Roman"/>
          <w:snapToGrid/>
          <w:color w:val="000000"/>
          <w:spacing w:val="13"/>
          <w:kern w:val="2"/>
          <w:position w:val="21"/>
          <w:sz w:val="32"/>
          <w:szCs w:val="32"/>
          <w:lang w:val="en-US" w:eastAsia="zh-CN" w:bidi="ar-SA"/>
        </w:rPr>
      </w:pPr>
      <w:r>
        <w:rPr>
          <w:rFonts w:hint="eastAsia" w:ascii="Times New Roman" w:hAnsi="Times New Roman" w:eastAsia="仿宋" w:cs="Times New Roman"/>
          <w:snapToGrid/>
          <w:color w:val="000000"/>
          <w:spacing w:val="13"/>
          <w:kern w:val="2"/>
          <w:position w:val="21"/>
          <w:sz w:val="32"/>
          <w:szCs w:val="32"/>
          <w:lang w:val="en-US" w:eastAsia="zh-CN" w:bidi="ar-SA"/>
        </w:rPr>
        <w:t>介绍基本支出的主要用途、范围以及资金的管理情况，尤其是“三公”公经费的使用和管理情况。</w:t>
      </w:r>
    </w:p>
    <w:p w14:paraId="7951A239">
      <w:pPr>
        <w:pStyle w:val="2"/>
        <w:spacing w:before="227" w:line="600" w:lineRule="exact"/>
        <w:ind w:firstLine="692" w:firstLineChars="200"/>
        <w:jc w:val="left"/>
        <w:rPr>
          <w:rFonts w:hint="eastAsia" w:ascii="Times New Roman" w:hAnsi="Times New Roman" w:eastAsia="仿宋" w:cs="Times New Roman"/>
          <w:color w:val="000000"/>
          <w:spacing w:val="13"/>
          <w:position w:val="21"/>
          <w:sz w:val="32"/>
          <w:szCs w:val="32"/>
          <w:lang w:val="en-US" w:eastAsia="zh-CN"/>
        </w:rPr>
      </w:pPr>
      <w:r>
        <w:rPr>
          <w:rFonts w:hint="eastAsia" w:ascii="Times New Roman" w:hAnsi="Times New Roman" w:eastAsia="仿宋" w:cs="Times New Roman"/>
          <w:color w:val="000000"/>
          <w:spacing w:val="13"/>
          <w:position w:val="21"/>
          <w:sz w:val="32"/>
          <w:szCs w:val="32"/>
          <w:lang w:val="en-US" w:eastAsia="zh-CN"/>
        </w:rPr>
        <w:t>202</w:t>
      </w:r>
      <w:r>
        <w:rPr>
          <w:rFonts w:hint="eastAsia" w:ascii="Times New Roman" w:hAnsi="Times New Roman" w:cs="Times New Roman"/>
          <w:color w:val="000000"/>
          <w:spacing w:val="13"/>
          <w:position w:val="21"/>
          <w:sz w:val="32"/>
          <w:szCs w:val="32"/>
          <w:lang w:val="en-US" w:eastAsia="zh-CN"/>
        </w:rPr>
        <w:t>4</w:t>
      </w:r>
      <w:r>
        <w:rPr>
          <w:rFonts w:hint="eastAsia" w:ascii="Times New Roman" w:hAnsi="Times New Roman" w:eastAsia="仿宋" w:cs="Times New Roman"/>
          <w:color w:val="000000"/>
          <w:spacing w:val="13"/>
          <w:position w:val="21"/>
          <w:sz w:val="32"/>
          <w:szCs w:val="32"/>
          <w:lang w:val="en-US" w:eastAsia="zh-CN"/>
        </w:rPr>
        <w:t>年我局基本支出决算数为</w:t>
      </w:r>
      <w:r>
        <w:rPr>
          <w:rFonts w:hint="eastAsia" w:ascii="Times New Roman" w:hAnsi="Times New Roman" w:eastAsia="仿宋" w:cs="Times New Roman"/>
          <w:color w:val="000000"/>
          <w:spacing w:val="13"/>
          <w:kern w:val="2"/>
          <w:position w:val="21"/>
          <w:sz w:val="32"/>
          <w:szCs w:val="32"/>
          <w:lang w:val="en-US" w:eastAsia="zh-CN" w:bidi="ar-SA"/>
        </w:rPr>
        <w:t>6</w:t>
      </w:r>
      <w:r>
        <w:rPr>
          <w:rFonts w:hint="eastAsia" w:ascii="Times New Roman" w:hAnsi="Times New Roman" w:cs="Times New Roman"/>
          <w:color w:val="000000"/>
          <w:spacing w:val="13"/>
          <w:kern w:val="2"/>
          <w:position w:val="21"/>
          <w:sz w:val="32"/>
          <w:szCs w:val="32"/>
          <w:lang w:val="en-US" w:eastAsia="zh-CN" w:bidi="ar-SA"/>
        </w:rPr>
        <w:t>64.80</w:t>
      </w:r>
      <w:r>
        <w:rPr>
          <w:rFonts w:hint="eastAsia" w:ascii="Times New Roman" w:hAnsi="Times New Roman" w:eastAsia="仿宋" w:cs="Times New Roman"/>
          <w:color w:val="000000"/>
          <w:spacing w:val="13"/>
          <w:position w:val="21"/>
          <w:sz w:val="32"/>
          <w:szCs w:val="32"/>
          <w:lang w:val="en-US" w:eastAsia="zh-CN"/>
        </w:rPr>
        <w:t>万元。其中：人员经费</w:t>
      </w:r>
      <w:r>
        <w:rPr>
          <w:rFonts w:hint="eastAsia" w:ascii="Times New Roman" w:hAnsi="Times New Roman" w:eastAsia="仿宋" w:cs="Times New Roman"/>
          <w:color w:val="000000"/>
          <w:spacing w:val="13"/>
          <w:kern w:val="2"/>
          <w:position w:val="21"/>
          <w:sz w:val="32"/>
          <w:szCs w:val="32"/>
          <w:lang w:val="en-US" w:eastAsia="zh-CN" w:bidi="ar-SA"/>
        </w:rPr>
        <w:t>6</w:t>
      </w:r>
      <w:r>
        <w:rPr>
          <w:rFonts w:hint="eastAsia" w:ascii="Times New Roman" w:hAnsi="Times New Roman" w:cs="Times New Roman"/>
          <w:color w:val="000000"/>
          <w:spacing w:val="13"/>
          <w:kern w:val="2"/>
          <w:position w:val="21"/>
          <w:sz w:val="32"/>
          <w:szCs w:val="32"/>
          <w:lang w:val="en-US" w:eastAsia="zh-CN" w:bidi="ar-SA"/>
        </w:rPr>
        <w:t>29.81</w:t>
      </w:r>
      <w:r>
        <w:rPr>
          <w:rFonts w:hint="eastAsia" w:ascii="Times New Roman" w:hAnsi="Times New Roman" w:eastAsia="仿宋" w:cs="Times New Roman"/>
          <w:color w:val="000000"/>
          <w:spacing w:val="13"/>
          <w:position w:val="21"/>
          <w:sz w:val="32"/>
          <w:szCs w:val="32"/>
          <w:lang w:val="en-US" w:eastAsia="zh-CN"/>
        </w:rPr>
        <w:t>万元，主要包括基本工资、津贴补贴、奖金、社会保障缴费、伙食补助费、其他工资福利支出、退休费、生活补助、奖励金、住房公积金、其他对个人和家庭的补助支出；公用经费</w:t>
      </w:r>
      <w:r>
        <w:rPr>
          <w:rFonts w:hint="eastAsia" w:ascii="Times New Roman" w:hAnsi="Times New Roman" w:cs="Times New Roman"/>
          <w:color w:val="000000"/>
          <w:spacing w:val="13"/>
          <w:position w:val="21"/>
          <w:sz w:val="32"/>
          <w:szCs w:val="32"/>
          <w:lang w:val="en-US" w:eastAsia="zh-CN"/>
        </w:rPr>
        <w:t>34.99</w:t>
      </w:r>
      <w:r>
        <w:rPr>
          <w:rFonts w:hint="eastAsia" w:ascii="Times New Roman" w:hAnsi="Times New Roman" w:eastAsia="仿宋" w:cs="Times New Roman"/>
          <w:color w:val="000000"/>
          <w:spacing w:val="13"/>
          <w:position w:val="21"/>
          <w:sz w:val="32"/>
          <w:szCs w:val="32"/>
          <w:lang w:val="en-US" w:eastAsia="zh-CN"/>
        </w:rPr>
        <w:t>万元，主要包括：办公费、印刷费、水费、电费、邮电费、差旅费、维修(护)费、会议费、培训费、劳务费、工会经费、福利费、公务用车运行维护费、交通补贴及其他商品和服务支出。</w:t>
      </w:r>
    </w:p>
    <w:p w14:paraId="0E795B8F">
      <w:pPr>
        <w:pStyle w:val="2"/>
        <w:spacing w:before="227" w:line="600" w:lineRule="exact"/>
        <w:ind w:firstLine="692" w:firstLineChars="200"/>
        <w:jc w:val="left"/>
        <w:rPr>
          <w:rFonts w:hint="eastAsia" w:ascii="Times New Roman" w:hAnsi="Times New Roman" w:eastAsia="仿宋" w:cs="Times New Roman"/>
          <w:color w:val="000000"/>
          <w:spacing w:val="13"/>
          <w:position w:val="21"/>
          <w:sz w:val="32"/>
          <w:szCs w:val="32"/>
          <w:lang w:val="en-US" w:eastAsia="zh-CN"/>
        </w:rPr>
      </w:pPr>
      <w:r>
        <w:rPr>
          <w:rFonts w:hint="eastAsia" w:ascii="Times New Roman" w:hAnsi="Times New Roman" w:eastAsia="仿宋" w:cs="Times New Roman"/>
          <w:color w:val="000000"/>
          <w:spacing w:val="13"/>
          <w:position w:val="21"/>
          <w:sz w:val="32"/>
          <w:szCs w:val="32"/>
          <w:lang w:val="en-US" w:eastAsia="zh-CN"/>
        </w:rPr>
        <w:t>202</w:t>
      </w:r>
      <w:r>
        <w:rPr>
          <w:rFonts w:hint="eastAsia" w:ascii="Times New Roman" w:hAnsi="Times New Roman" w:cs="Times New Roman"/>
          <w:color w:val="000000"/>
          <w:spacing w:val="13"/>
          <w:position w:val="21"/>
          <w:sz w:val="32"/>
          <w:szCs w:val="32"/>
          <w:lang w:val="en-US" w:eastAsia="zh-CN"/>
        </w:rPr>
        <w:t>4</w:t>
      </w:r>
      <w:r>
        <w:rPr>
          <w:rFonts w:hint="eastAsia" w:ascii="Times New Roman" w:hAnsi="Times New Roman" w:eastAsia="仿宋" w:cs="Times New Roman"/>
          <w:color w:val="000000"/>
          <w:spacing w:val="13"/>
          <w:position w:val="21"/>
          <w:sz w:val="32"/>
          <w:szCs w:val="32"/>
          <w:lang w:val="en-US" w:eastAsia="zh-CN"/>
        </w:rPr>
        <w:t>年，“三公”经费决算</w:t>
      </w:r>
      <w:r>
        <w:rPr>
          <w:rFonts w:hint="eastAsia" w:ascii="Times New Roman" w:hAnsi="Times New Roman" w:cs="Times New Roman"/>
          <w:color w:val="000000"/>
          <w:spacing w:val="13"/>
          <w:position w:val="21"/>
          <w:sz w:val="32"/>
          <w:szCs w:val="32"/>
          <w:lang w:val="en-US" w:eastAsia="zh-CN"/>
        </w:rPr>
        <w:t>7.98</w:t>
      </w:r>
      <w:r>
        <w:rPr>
          <w:rFonts w:hint="eastAsia" w:ascii="Times New Roman" w:hAnsi="Times New Roman" w:eastAsia="仿宋" w:cs="Times New Roman"/>
          <w:color w:val="000000"/>
          <w:spacing w:val="13"/>
          <w:position w:val="21"/>
          <w:sz w:val="32"/>
          <w:szCs w:val="32"/>
          <w:lang w:val="en-US" w:eastAsia="zh-CN"/>
        </w:rPr>
        <w:t>万元，</w:t>
      </w:r>
      <w:r>
        <w:rPr>
          <w:rFonts w:hint="eastAsia" w:ascii="Times New Roman" w:hAnsi="Times New Roman" w:cs="Times New Roman"/>
          <w:color w:val="000000"/>
          <w:spacing w:val="13"/>
          <w:position w:val="21"/>
          <w:sz w:val="32"/>
          <w:szCs w:val="32"/>
          <w:lang w:val="en-US" w:eastAsia="zh-CN"/>
        </w:rPr>
        <w:t>较上年减少0.95万元，变化原因</w:t>
      </w:r>
      <w:r>
        <w:rPr>
          <w:rFonts w:hint="eastAsia" w:ascii="Times New Roman" w:hAnsi="Times New Roman" w:eastAsia="仿宋" w:cs="Times New Roman"/>
          <w:color w:val="000000"/>
          <w:spacing w:val="13"/>
          <w:position w:val="21"/>
          <w:sz w:val="32"/>
          <w:szCs w:val="32"/>
          <w:lang w:val="en-US" w:eastAsia="zh-CN"/>
        </w:rPr>
        <w:t>:单位公务车</w:t>
      </w:r>
      <w:r>
        <w:rPr>
          <w:rFonts w:hint="eastAsia" w:ascii="Times New Roman" w:hAnsi="Times New Roman" w:cs="Times New Roman"/>
          <w:color w:val="000000"/>
          <w:spacing w:val="13"/>
          <w:position w:val="21"/>
          <w:sz w:val="32"/>
          <w:szCs w:val="32"/>
          <w:lang w:val="en-US" w:eastAsia="zh-CN"/>
        </w:rPr>
        <w:t>运行维护费用降低。</w:t>
      </w:r>
      <w:r>
        <w:rPr>
          <w:rFonts w:hint="eastAsia" w:ascii="Times New Roman" w:hAnsi="Times New Roman" w:eastAsia="仿宋" w:cs="Times New Roman"/>
          <w:color w:val="000000"/>
          <w:spacing w:val="13"/>
          <w:position w:val="21"/>
          <w:sz w:val="32"/>
          <w:szCs w:val="32"/>
          <w:lang w:val="en-US" w:eastAsia="zh-CN"/>
        </w:rPr>
        <w:t>因公出国(境)费完成0万元,比上年增减0万元，增加下降0%，增减变化的主要原因是:本单位无因出国(境)费;公务接待费完成</w:t>
      </w:r>
      <w:r>
        <w:rPr>
          <w:rFonts w:hint="eastAsia" w:ascii="Times New Roman" w:hAnsi="Times New Roman" w:cs="Times New Roman"/>
          <w:color w:val="000000"/>
          <w:spacing w:val="13"/>
          <w:position w:val="21"/>
          <w:sz w:val="32"/>
          <w:szCs w:val="32"/>
          <w:lang w:val="en-US" w:eastAsia="zh-CN"/>
        </w:rPr>
        <w:t>0.098</w:t>
      </w:r>
      <w:r>
        <w:rPr>
          <w:rFonts w:hint="eastAsia" w:ascii="Times New Roman" w:hAnsi="Times New Roman" w:eastAsia="仿宋" w:cs="Times New Roman"/>
          <w:color w:val="000000"/>
          <w:spacing w:val="13"/>
          <w:position w:val="21"/>
          <w:sz w:val="32"/>
          <w:szCs w:val="32"/>
          <w:lang w:val="en-US" w:eastAsia="zh-CN"/>
        </w:rPr>
        <w:t>万元，比上年</w:t>
      </w:r>
      <w:r>
        <w:rPr>
          <w:rFonts w:hint="eastAsia" w:ascii="Times New Roman" w:hAnsi="Times New Roman" w:cs="Times New Roman"/>
          <w:color w:val="000000"/>
          <w:spacing w:val="13"/>
          <w:position w:val="21"/>
          <w:sz w:val="32"/>
          <w:szCs w:val="32"/>
          <w:lang w:val="en-US" w:eastAsia="zh-CN"/>
        </w:rPr>
        <w:t>增加0.098</w:t>
      </w:r>
      <w:r>
        <w:rPr>
          <w:rFonts w:hint="eastAsia" w:ascii="Times New Roman" w:hAnsi="Times New Roman" w:eastAsia="仿宋" w:cs="Times New Roman"/>
          <w:color w:val="000000"/>
          <w:spacing w:val="13"/>
          <w:position w:val="21"/>
          <w:sz w:val="32"/>
          <w:szCs w:val="32"/>
          <w:lang w:val="en-US" w:eastAsia="zh-CN"/>
        </w:rPr>
        <w:t>万元，</w:t>
      </w:r>
      <w:r>
        <w:rPr>
          <w:rFonts w:hint="eastAsia" w:ascii="Times New Roman" w:hAnsi="Times New Roman" w:cs="Times New Roman"/>
          <w:color w:val="000000"/>
          <w:spacing w:val="13"/>
          <w:position w:val="21"/>
          <w:sz w:val="32"/>
          <w:szCs w:val="32"/>
          <w:lang w:val="en-US" w:eastAsia="zh-CN"/>
        </w:rPr>
        <w:t>增加100</w:t>
      </w:r>
      <w:r>
        <w:rPr>
          <w:rFonts w:hint="eastAsia" w:ascii="Times New Roman" w:hAnsi="Times New Roman" w:eastAsia="仿宋" w:cs="Times New Roman"/>
          <w:color w:val="000000"/>
          <w:spacing w:val="13"/>
          <w:position w:val="21"/>
          <w:sz w:val="32"/>
          <w:szCs w:val="32"/>
          <w:lang w:val="en-US" w:eastAsia="zh-CN"/>
        </w:rPr>
        <w:t>%,增减变化的主要原因是:</w:t>
      </w:r>
      <w:r>
        <w:rPr>
          <w:rFonts w:hint="eastAsia" w:ascii="Times New Roman" w:hAnsi="Times New Roman" w:cs="Times New Roman"/>
          <w:color w:val="000000"/>
          <w:spacing w:val="13"/>
          <w:position w:val="21"/>
          <w:sz w:val="32"/>
          <w:szCs w:val="32"/>
          <w:lang w:val="en-US" w:eastAsia="zh-CN"/>
        </w:rPr>
        <w:t>上</w:t>
      </w:r>
      <w:r>
        <w:rPr>
          <w:rFonts w:hint="eastAsia" w:ascii="Times New Roman" w:hAnsi="Times New Roman" w:eastAsia="仿宋" w:cs="Times New Roman"/>
          <w:color w:val="000000"/>
          <w:spacing w:val="13"/>
          <w:position w:val="21"/>
          <w:sz w:val="32"/>
          <w:szCs w:val="32"/>
          <w:lang w:val="en-US" w:eastAsia="zh-CN"/>
        </w:rPr>
        <w:t>年没有发生公务接待开支;公务用车购置及运行维护费完成</w:t>
      </w:r>
      <w:r>
        <w:rPr>
          <w:rFonts w:hint="eastAsia" w:ascii="Times New Roman" w:hAnsi="Times New Roman" w:cs="Times New Roman"/>
          <w:color w:val="000000"/>
          <w:spacing w:val="13"/>
          <w:position w:val="21"/>
          <w:sz w:val="32"/>
          <w:szCs w:val="32"/>
          <w:lang w:val="en-US" w:eastAsia="zh-CN"/>
        </w:rPr>
        <w:t>7.88</w:t>
      </w:r>
      <w:r>
        <w:rPr>
          <w:rFonts w:hint="eastAsia" w:ascii="Times New Roman" w:hAnsi="Times New Roman" w:eastAsia="仿宋" w:cs="Times New Roman"/>
          <w:color w:val="000000"/>
          <w:spacing w:val="13"/>
          <w:position w:val="21"/>
          <w:sz w:val="32"/>
          <w:szCs w:val="32"/>
          <w:lang w:val="en-US" w:eastAsia="zh-CN"/>
        </w:rPr>
        <w:t>万元，比上年减少</w:t>
      </w:r>
      <w:r>
        <w:rPr>
          <w:rFonts w:hint="eastAsia" w:ascii="Times New Roman" w:hAnsi="Times New Roman" w:cs="Times New Roman"/>
          <w:color w:val="000000"/>
          <w:spacing w:val="13"/>
          <w:position w:val="21"/>
          <w:sz w:val="32"/>
          <w:szCs w:val="32"/>
          <w:lang w:val="en-US" w:eastAsia="zh-CN"/>
        </w:rPr>
        <w:t>1.05</w:t>
      </w:r>
      <w:r>
        <w:rPr>
          <w:rFonts w:hint="eastAsia" w:ascii="Times New Roman" w:hAnsi="Times New Roman" w:eastAsia="仿宋" w:cs="Times New Roman"/>
          <w:color w:val="000000"/>
          <w:spacing w:val="13"/>
          <w:position w:val="21"/>
          <w:sz w:val="32"/>
          <w:szCs w:val="32"/>
          <w:lang w:val="en-US" w:eastAsia="zh-CN"/>
        </w:rPr>
        <w:t>万元，下降</w:t>
      </w:r>
      <w:r>
        <w:rPr>
          <w:rFonts w:hint="eastAsia" w:ascii="Times New Roman" w:hAnsi="Times New Roman" w:cs="Times New Roman"/>
          <w:color w:val="000000"/>
          <w:spacing w:val="13"/>
          <w:position w:val="21"/>
          <w:sz w:val="32"/>
          <w:szCs w:val="32"/>
          <w:lang w:val="en-US" w:eastAsia="zh-CN"/>
        </w:rPr>
        <w:t>11.76</w:t>
      </w:r>
      <w:r>
        <w:rPr>
          <w:rFonts w:hint="eastAsia" w:ascii="Times New Roman" w:hAnsi="Times New Roman" w:eastAsia="仿宋" w:cs="Times New Roman"/>
          <w:color w:val="000000"/>
          <w:spacing w:val="13"/>
          <w:position w:val="21"/>
          <w:sz w:val="32"/>
          <w:szCs w:val="32"/>
          <w:lang w:val="en-US" w:eastAsia="zh-CN"/>
        </w:rPr>
        <w:t>%,增减变化的主要原因是:单位公务车运行维护</w:t>
      </w:r>
      <w:r>
        <w:rPr>
          <w:rFonts w:hint="eastAsia" w:ascii="Times New Roman" w:hAnsi="Times New Roman" w:cs="Times New Roman"/>
          <w:color w:val="000000"/>
          <w:spacing w:val="13"/>
          <w:position w:val="21"/>
          <w:sz w:val="32"/>
          <w:szCs w:val="32"/>
          <w:lang w:val="en-US" w:eastAsia="zh-CN"/>
        </w:rPr>
        <w:t>费用降低</w:t>
      </w:r>
      <w:r>
        <w:rPr>
          <w:rFonts w:hint="eastAsia" w:ascii="Times New Roman" w:hAnsi="Times New Roman" w:eastAsia="仿宋" w:cs="Times New Roman"/>
          <w:color w:val="000000"/>
          <w:spacing w:val="13"/>
          <w:position w:val="21"/>
          <w:sz w:val="32"/>
          <w:szCs w:val="32"/>
          <w:lang w:val="en-US" w:eastAsia="zh-CN"/>
        </w:rPr>
        <w:t>。</w:t>
      </w:r>
    </w:p>
    <w:p w14:paraId="641F070D">
      <w:pPr>
        <w:pStyle w:val="3"/>
        <w:spacing w:before="1" w:line="232" w:lineRule="auto"/>
        <w:ind w:left="804"/>
        <w:jc w:val="left"/>
        <w:outlineLvl w:val="1"/>
        <w:rPr>
          <w:rFonts w:ascii="楷体" w:hAnsi="楷体" w:eastAsia="楷体" w:cs="楷体"/>
          <w:color w:val="000000"/>
          <w:sz w:val="32"/>
          <w:szCs w:val="32"/>
          <w:lang w:val="en-US" w:eastAsia="en-US"/>
        </w:rPr>
      </w:pPr>
      <w:r>
        <w:rPr>
          <w:rFonts w:ascii="楷体" w:hAnsi="楷体" w:eastAsia="楷体" w:cs="楷体"/>
          <w:b/>
          <w:bCs/>
          <w:color w:val="000000"/>
          <w:spacing w:val="19"/>
          <w:sz w:val="32"/>
          <w:szCs w:val="32"/>
          <w:lang w:val="en-US" w:eastAsia="en-US"/>
        </w:rPr>
        <w:t>(二)项目支出</w:t>
      </w:r>
    </w:p>
    <w:p w14:paraId="2E11182B">
      <w:pPr>
        <w:pStyle w:val="2"/>
        <w:spacing w:before="230" w:line="295" w:lineRule="auto"/>
        <w:ind w:right="136" w:firstLine="670"/>
        <w:jc w:val="left"/>
        <w:rPr>
          <w:color w:val="000000"/>
          <w:spacing w:val="5"/>
          <w:sz w:val="30"/>
          <w:szCs w:val="30"/>
          <w:lang w:val="en-US" w:eastAsia="en-US"/>
        </w:rPr>
      </w:pPr>
      <w:r>
        <w:rPr>
          <w:rFonts w:ascii="宋体" w:hAnsi="宋体" w:eastAsia="宋体" w:cs="宋体"/>
          <w:color w:val="000000"/>
          <w:spacing w:val="26"/>
          <w:sz w:val="30"/>
          <w:szCs w:val="30"/>
          <w:lang w:val="en-US" w:eastAsia="en-US"/>
        </w:rPr>
        <w:t>1、</w:t>
      </w:r>
      <w:r>
        <w:rPr>
          <w:color w:val="000000"/>
          <w:spacing w:val="26"/>
          <w:sz w:val="30"/>
          <w:szCs w:val="30"/>
          <w:lang w:val="en-US" w:eastAsia="en-US"/>
        </w:rPr>
        <w:t>项目资金(包括财政资金、自筹资金等)安排落实、总</w:t>
      </w:r>
      <w:r>
        <w:rPr>
          <w:color w:val="000000"/>
          <w:spacing w:val="1"/>
          <w:sz w:val="30"/>
          <w:szCs w:val="30"/>
          <w:lang w:val="en-US" w:eastAsia="en-US"/>
        </w:rPr>
        <w:t xml:space="preserve"> </w:t>
      </w:r>
      <w:r>
        <w:rPr>
          <w:color w:val="000000"/>
          <w:spacing w:val="5"/>
          <w:sz w:val="30"/>
          <w:szCs w:val="30"/>
          <w:lang w:val="en-US" w:eastAsia="en-US"/>
        </w:rPr>
        <w:t>投入等情况分析。</w:t>
      </w:r>
    </w:p>
    <w:p w14:paraId="18FF0C30">
      <w:pPr>
        <w:pStyle w:val="2"/>
        <w:keepNext w:val="0"/>
        <w:keepLines w:val="0"/>
        <w:pageBreakBefore w:val="0"/>
        <w:widowControl w:val="0"/>
        <w:kinsoku/>
        <w:wordWrap/>
        <w:overflowPunct/>
        <w:topLinePunct w:val="0"/>
        <w:autoSpaceDE/>
        <w:autoSpaceDN/>
        <w:bidi w:val="0"/>
        <w:adjustRightInd/>
        <w:snapToGrid/>
        <w:spacing w:before="107" w:line="600" w:lineRule="exact"/>
        <w:ind w:firstLine="692" w:firstLineChars="200"/>
        <w:jc w:val="left"/>
        <w:textAlignment w:val="auto"/>
        <w:rPr>
          <w:rFonts w:hint="eastAsia" w:ascii="Times New Roman" w:hAnsi="Times New Roman" w:eastAsia="仿宋" w:cs="Times New Roman"/>
          <w:color w:val="000000"/>
          <w:spacing w:val="13"/>
          <w:position w:val="21"/>
          <w:sz w:val="32"/>
          <w:szCs w:val="32"/>
          <w:lang w:val="en-US" w:eastAsia="zh-CN"/>
        </w:rPr>
      </w:pPr>
      <w:r>
        <w:rPr>
          <w:rFonts w:hint="eastAsia" w:ascii="Times New Roman" w:hAnsi="Times New Roman" w:eastAsia="仿宋" w:cs="Times New Roman"/>
          <w:color w:val="000000"/>
          <w:spacing w:val="13"/>
          <w:position w:val="21"/>
          <w:sz w:val="32"/>
          <w:szCs w:val="32"/>
          <w:lang w:val="en-US" w:eastAsia="zh-CN"/>
        </w:rPr>
        <w:t>202</w:t>
      </w:r>
      <w:r>
        <w:rPr>
          <w:rFonts w:hint="eastAsia" w:ascii="Times New Roman" w:hAnsi="Times New Roman" w:cs="Times New Roman"/>
          <w:color w:val="000000"/>
          <w:spacing w:val="13"/>
          <w:position w:val="21"/>
          <w:sz w:val="32"/>
          <w:szCs w:val="32"/>
          <w:lang w:val="en-US" w:eastAsia="zh-CN"/>
        </w:rPr>
        <w:t>4</w:t>
      </w:r>
      <w:r>
        <w:rPr>
          <w:rFonts w:hint="eastAsia" w:ascii="Times New Roman" w:hAnsi="Times New Roman" w:eastAsia="仿宋" w:cs="Times New Roman"/>
          <w:color w:val="000000"/>
          <w:spacing w:val="13"/>
          <w:position w:val="21"/>
          <w:sz w:val="32"/>
          <w:szCs w:val="32"/>
          <w:lang w:val="en-US" w:eastAsia="zh-CN"/>
        </w:rPr>
        <w:t>年财政拨款项目收入</w:t>
      </w:r>
      <w:r>
        <w:rPr>
          <w:rFonts w:hint="eastAsia" w:ascii="Times New Roman" w:hAnsi="Times New Roman" w:cs="Times New Roman"/>
          <w:color w:val="000000"/>
          <w:spacing w:val="13"/>
          <w:position w:val="21"/>
          <w:sz w:val="32"/>
          <w:szCs w:val="32"/>
          <w:lang w:val="en-US" w:eastAsia="zh-CN"/>
        </w:rPr>
        <w:t>337.21</w:t>
      </w:r>
      <w:r>
        <w:rPr>
          <w:rFonts w:hint="eastAsia" w:ascii="Times New Roman" w:hAnsi="Times New Roman" w:eastAsia="仿宋" w:cs="Times New Roman"/>
          <w:color w:val="000000"/>
          <w:spacing w:val="13"/>
          <w:position w:val="21"/>
          <w:sz w:val="32"/>
          <w:szCs w:val="32"/>
          <w:lang w:val="en-US" w:eastAsia="zh-CN"/>
        </w:rPr>
        <w:t>万元，项目支出</w:t>
      </w:r>
      <w:r>
        <w:rPr>
          <w:rFonts w:hint="eastAsia" w:ascii="Times New Roman" w:hAnsi="Times New Roman" w:cs="Times New Roman"/>
          <w:color w:val="000000"/>
          <w:spacing w:val="13"/>
          <w:position w:val="21"/>
          <w:sz w:val="32"/>
          <w:szCs w:val="32"/>
          <w:lang w:val="en-US" w:eastAsia="zh-CN"/>
        </w:rPr>
        <w:t>337.21</w:t>
      </w:r>
      <w:r>
        <w:rPr>
          <w:rFonts w:hint="eastAsia" w:ascii="Times New Roman" w:hAnsi="Times New Roman" w:eastAsia="仿宋" w:cs="Times New Roman"/>
          <w:color w:val="000000"/>
          <w:spacing w:val="13"/>
          <w:position w:val="21"/>
          <w:sz w:val="32"/>
          <w:szCs w:val="32"/>
          <w:lang w:val="en-US" w:eastAsia="zh-CN"/>
        </w:rPr>
        <w:t>万元，收支平衡。因市政府文件规定,预算单位年度安排的市级预算资金不能结转，所以无202</w:t>
      </w:r>
      <w:r>
        <w:rPr>
          <w:rFonts w:hint="eastAsia" w:ascii="Times New Roman" w:hAnsi="Times New Roman" w:cs="Times New Roman"/>
          <w:color w:val="000000"/>
          <w:spacing w:val="13"/>
          <w:position w:val="21"/>
          <w:sz w:val="32"/>
          <w:szCs w:val="32"/>
          <w:lang w:val="en-US" w:eastAsia="zh-CN"/>
        </w:rPr>
        <w:t>3</w:t>
      </w:r>
      <w:r>
        <w:rPr>
          <w:rFonts w:hint="eastAsia" w:ascii="Times New Roman" w:hAnsi="Times New Roman" w:eastAsia="仿宋" w:cs="Times New Roman"/>
          <w:color w:val="000000"/>
          <w:spacing w:val="13"/>
          <w:position w:val="21"/>
          <w:sz w:val="32"/>
          <w:szCs w:val="32"/>
          <w:lang w:val="en-US" w:eastAsia="zh-CN"/>
        </w:rPr>
        <w:t>年末结转和结余资金。</w:t>
      </w:r>
    </w:p>
    <w:p w14:paraId="695D3929">
      <w:pPr>
        <w:pStyle w:val="2"/>
        <w:keepNext w:val="0"/>
        <w:keepLines w:val="0"/>
        <w:pageBreakBefore w:val="0"/>
        <w:widowControl w:val="0"/>
        <w:numPr>
          <w:ilvl w:val="0"/>
          <w:numId w:val="2"/>
        </w:numPr>
        <w:kinsoku/>
        <w:wordWrap/>
        <w:overflowPunct/>
        <w:topLinePunct w:val="0"/>
        <w:autoSpaceDE/>
        <w:autoSpaceDN/>
        <w:bidi w:val="0"/>
        <w:adjustRightInd/>
        <w:snapToGrid/>
        <w:spacing w:before="107" w:line="600" w:lineRule="exact"/>
        <w:ind w:firstLine="712" w:firstLineChars="200"/>
        <w:jc w:val="left"/>
        <w:textAlignment w:val="auto"/>
        <w:rPr>
          <w:color w:val="000000"/>
          <w:spacing w:val="27"/>
          <w:sz w:val="30"/>
          <w:szCs w:val="30"/>
          <w:lang w:val="en-US" w:eastAsia="en-US"/>
        </w:rPr>
      </w:pPr>
      <w:r>
        <w:rPr>
          <w:color w:val="000000"/>
          <w:spacing w:val="28"/>
          <w:sz w:val="30"/>
          <w:szCs w:val="30"/>
          <w:lang w:val="en-US" w:eastAsia="en-US"/>
        </w:rPr>
        <w:t>项目资金(主要指财政资金)实际使用情</w:t>
      </w:r>
      <w:r>
        <w:rPr>
          <w:color w:val="000000"/>
          <w:spacing w:val="27"/>
          <w:sz w:val="30"/>
          <w:szCs w:val="30"/>
          <w:lang w:val="en-US" w:eastAsia="en-US"/>
        </w:rPr>
        <w:t>况分析。</w:t>
      </w:r>
    </w:p>
    <w:p w14:paraId="2A0E6472">
      <w:pPr>
        <w:pStyle w:val="4"/>
        <w:jc w:val="left"/>
        <w:rPr>
          <w:color w:val="000000"/>
          <w:lang w:val="en-US" w:eastAsia="en-US"/>
        </w:rPr>
      </w:pPr>
    </w:p>
    <w:p w14:paraId="2D49F3DD">
      <w:pPr>
        <w:pStyle w:val="3"/>
        <w:keepNext w:val="0"/>
        <w:keepLines w:val="0"/>
        <w:pageBreakBefore w:val="0"/>
        <w:widowControl w:val="0"/>
        <w:kinsoku/>
        <w:wordWrap/>
        <w:overflowPunct/>
        <w:topLinePunct w:val="0"/>
        <w:autoSpaceDE/>
        <w:autoSpaceDN/>
        <w:bidi w:val="0"/>
        <w:adjustRightInd/>
        <w:snapToGrid/>
        <w:spacing w:before="20" w:line="339" w:lineRule="auto"/>
        <w:ind w:right="187" w:firstLine="641"/>
        <w:jc w:val="both"/>
        <w:textAlignment w:val="auto"/>
        <w:rPr>
          <w:color w:val="000000"/>
          <w:lang w:val="en-US" w:eastAsia="en-US"/>
        </w:rPr>
      </w:pPr>
      <w:r>
        <w:rPr>
          <w:rFonts w:hint="eastAsia" w:ascii="Times New Roman" w:hAnsi="Times New Roman" w:eastAsia="仿宋" w:cs="Times New Roman"/>
          <w:color w:val="000000"/>
          <w:spacing w:val="13"/>
          <w:kern w:val="2"/>
          <w:position w:val="21"/>
          <w:sz w:val="32"/>
          <w:szCs w:val="32"/>
          <w:lang w:val="en-US" w:eastAsia="zh-CN" w:bidi="ar-SA"/>
        </w:rPr>
        <w:t>2024年项目支出决算数为337.21万元，包括2024单位日常运转经费51.41万元，2024生态环境保护运转经费249.84万元，2024清廉环保主题文化园9.91万元，2022年度低碳示范社区创建项目20万元。</w:t>
      </w:r>
    </w:p>
    <w:p w14:paraId="7C907428">
      <w:pPr>
        <w:pStyle w:val="2"/>
        <w:numPr>
          <w:ilvl w:val="0"/>
          <w:numId w:val="2"/>
        </w:numPr>
        <w:spacing w:before="239" w:line="295" w:lineRule="auto"/>
        <w:ind w:left="0" w:leftChars="0" w:right="108" w:firstLine="660" w:firstLineChars="200"/>
        <w:jc w:val="left"/>
        <w:rPr>
          <w:color w:val="000000"/>
          <w:spacing w:val="4"/>
          <w:sz w:val="30"/>
          <w:szCs w:val="30"/>
          <w:lang w:val="en-US" w:eastAsia="en-US"/>
        </w:rPr>
      </w:pPr>
      <w:r>
        <w:rPr>
          <w:color w:val="000000"/>
          <w:spacing w:val="15"/>
          <w:sz w:val="30"/>
          <w:szCs w:val="30"/>
          <w:lang w:val="en-US" w:eastAsia="en-US"/>
        </w:rPr>
        <w:t>项目资金管理情况分析，主要包括管理制度、办法的制</w:t>
      </w:r>
      <w:r>
        <w:rPr>
          <w:color w:val="000000"/>
          <w:spacing w:val="16"/>
          <w:sz w:val="30"/>
          <w:szCs w:val="30"/>
          <w:lang w:val="en-US" w:eastAsia="en-US"/>
        </w:rPr>
        <w:t xml:space="preserve"> </w:t>
      </w:r>
      <w:r>
        <w:rPr>
          <w:color w:val="000000"/>
          <w:spacing w:val="4"/>
          <w:sz w:val="30"/>
          <w:szCs w:val="30"/>
          <w:lang w:val="en-US" w:eastAsia="en-US"/>
        </w:rPr>
        <w:t>订及执行情况。</w:t>
      </w:r>
    </w:p>
    <w:p w14:paraId="51DA3BE1">
      <w:pPr>
        <w:pStyle w:val="4"/>
        <w:numPr>
          <w:ilvl w:val="0"/>
          <w:numId w:val="0"/>
        </w:numPr>
        <w:ind w:left="420" w:leftChars="200"/>
        <w:jc w:val="left"/>
        <w:rPr>
          <w:color w:val="000000"/>
          <w:lang w:val="en-US" w:eastAsia="en-US"/>
        </w:rPr>
      </w:pPr>
    </w:p>
    <w:p w14:paraId="6EC4BDFA">
      <w:pPr>
        <w:pStyle w:val="2"/>
        <w:spacing w:before="227" w:line="600" w:lineRule="exact"/>
        <w:ind w:firstLine="692" w:firstLineChars="200"/>
        <w:jc w:val="left"/>
        <w:rPr>
          <w:rFonts w:hint="eastAsia" w:ascii="仿宋_GB2312" w:hAnsi="宋体" w:eastAsia="仿宋_GB2312" w:cs="宋体"/>
          <w:bCs/>
          <w:snapToGrid/>
          <w:color w:val="000000"/>
          <w:kern w:val="0"/>
          <w:sz w:val="32"/>
          <w:szCs w:val="32"/>
          <w:lang w:val="en-US" w:eastAsia="zh-CN" w:bidi="ar-SA"/>
        </w:rPr>
      </w:pPr>
      <w:r>
        <w:rPr>
          <w:rFonts w:hint="eastAsia" w:ascii="Times New Roman" w:hAnsi="Times New Roman" w:eastAsia="仿宋" w:cs="Times New Roman"/>
          <w:color w:val="000000"/>
          <w:spacing w:val="13"/>
          <w:position w:val="21"/>
          <w:sz w:val="32"/>
          <w:szCs w:val="32"/>
          <w:lang w:val="en-US" w:eastAsia="zh-CN"/>
        </w:rPr>
        <w:t>专项资金管理及使用参照《长沙市雨花区环境保护专项资金管理办法》、《长沙市雨花区环境保护局内部控制手册》。</w:t>
      </w:r>
    </w:p>
    <w:p w14:paraId="0DACA4D9">
      <w:pPr>
        <w:pStyle w:val="3"/>
        <w:jc w:val="left"/>
        <w:rPr>
          <w:color w:val="000000"/>
          <w:lang w:val="en-US" w:eastAsia="en-US"/>
        </w:rPr>
      </w:pPr>
    </w:p>
    <w:p w14:paraId="41616AD6">
      <w:pPr>
        <w:pStyle w:val="3"/>
        <w:spacing w:before="230" w:line="222" w:lineRule="auto"/>
        <w:ind w:left="674"/>
        <w:jc w:val="left"/>
        <w:outlineLvl w:val="2"/>
        <w:rPr>
          <w:rFonts w:ascii="黑体" w:hAnsi="黑体" w:eastAsia="黑体" w:cs="黑体"/>
          <w:color w:val="000000"/>
          <w:sz w:val="30"/>
          <w:szCs w:val="30"/>
          <w:lang w:val="en-US" w:eastAsia="en-US"/>
        </w:rPr>
      </w:pPr>
      <w:r>
        <w:rPr>
          <w:rFonts w:ascii="黑体" w:hAnsi="黑体" w:eastAsia="黑体" w:cs="黑体"/>
          <w:b/>
          <w:bCs/>
          <w:color w:val="000000"/>
          <w:spacing w:val="11"/>
          <w:sz w:val="30"/>
          <w:szCs w:val="30"/>
          <w:lang w:val="en-US" w:eastAsia="en-US"/>
        </w:rPr>
        <w:t>三、项目组织实施情况</w:t>
      </w:r>
    </w:p>
    <w:p w14:paraId="4CF225AE">
      <w:pPr>
        <w:pStyle w:val="2"/>
        <w:spacing w:before="252" w:line="296" w:lineRule="auto"/>
        <w:ind w:right="195" w:firstLine="799"/>
        <w:jc w:val="left"/>
        <w:rPr>
          <w:color w:val="000000"/>
          <w:spacing w:val="5"/>
          <w:sz w:val="30"/>
          <w:szCs w:val="30"/>
          <w:lang w:val="en-US" w:eastAsia="en-US"/>
        </w:rPr>
      </w:pPr>
      <w:r>
        <w:rPr>
          <w:color w:val="000000"/>
          <w:spacing w:val="25"/>
          <w:sz w:val="30"/>
          <w:szCs w:val="30"/>
          <w:lang w:val="en-US" w:eastAsia="en-US"/>
        </w:rPr>
        <w:t>(一)项目组织情况分析，主要包括项目招投标、调整、</w:t>
      </w:r>
      <w:r>
        <w:rPr>
          <w:color w:val="000000"/>
          <w:spacing w:val="13"/>
          <w:sz w:val="30"/>
          <w:szCs w:val="30"/>
          <w:lang w:val="en-US" w:eastAsia="en-US"/>
        </w:rPr>
        <w:t xml:space="preserve"> </w:t>
      </w:r>
      <w:r>
        <w:rPr>
          <w:color w:val="000000"/>
          <w:spacing w:val="5"/>
          <w:sz w:val="30"/>
          <w:szCs w:val="30"/>
          <w:lang w:val="en-US" w:eastAsia="en-US"/>
        </w:rPr>
        <w:t>竣工验收等情况。</w:t>
      </w:r>
    </w:p>
    <w:p w14:paraId="7D7B5F24">
      <w:pPr>
        <w:pStyle w:val="2"/>
        <w:spacing w:before="252" w:line="296" w:lineRule="auto"/>
        <w:ind w:right="195" w:firstLine="799"/>
        <w:jc w:val="left"/>
        <w:rPr>
          <w:color w:val="000000"/>
          <w:sz w:val="30"/>
          <w:szCs w:val="30"/>
          <w:lang w:val="en-US" w:eastAsia="en-US"/>
        </w:rPr>
      </w:pPr>
      <w:r>
        <w:rPr>
          <w:color w:val="000000"/>
          <w:spacing w:val="25"/>
          <w:sz w:val="30"/>
          <w:szCs w:val="30"/>
          <w:lang w:val="en-US" w:eastAsia="en-US"/>
        </w:rPr>
        <w:t>(二)项目管理情况分析，主要包括项目管理制度建设、</w:t>
      </w:r>
      <w:r>
        <w:rPr>
          <w:color w:val="000000"/>
          <w:spacing w:val="13"/>
          <w:sz w:val="30"/>
          <w:szCs w:val="30"/>
          <w:lang w:val="en-US" w:eastAsia="en-US"/>
        </w:rPr>
        <w:t xml:space="preserve"> </w:t>
      </w:r>
      <w:r>
        <w:rPr>
          <w:color w:val="000000"/>
          <w:spacing w:val="6"/>
          <w:sz w:val="30"/>
          <w:szCs w:val="30"/>
          <w:lang w:val="en-US" w:eastAsia="en-US"/>
        </w:rPr>
        <w:t>日常检查监督管理等情况。</w:t>
      </w:r>
    </w:p>
    <w:p w14:paraId="4806749D">
      <w:pPr>
        <w:pStyle w:val="3"/>
        <w:spacing w:before="242" w:line="222" w:lineRule="auto"/>
        <w:ind w:left="674"/>
        <w:jc w:val="left"/>
        <w:outlineLvl w:val="2"/>
        <w:rPr>
          <w:rFonts w:ascii="黑体" w:hAnsi="黑体" w:eastAsia="黑体" w:cs="黑体"/>
          <w:color w:val="000000"/>
          <w:sz w:val="30"/>
          <w:szCs w:val="30"/>
          <w:lang w:val="en-US" w:eastAsia="en-US"/>
        </w:rPr>
      </w:pPr>
      <w:r>
        <w:rPr>
          <w:rFonts w:ascii="黑体" w:hAnsi="黑体" w:eastAsia="黑体" w:cs="黑体"/>
          <w:b/>
          <w:bCs/>
          <w:color w:val="000000"/>
          <w:spacing w:val="8"/>
          <w:sz w:val="30"/>
          <w:szCs w:val="30"/>
          <w:lang w:val="en-US" w:eastAsia="en-US"/>
        </w:rPr>
        <w:t>四、资产管理情况</w:t>
      </w:r>
    </w:p>
    <w:p w14:paraId="42654F77">
      <w:pPr>
        <w:pStyle w:val="2"/>
        <w:spacing w:before="227" w:line="600" w:lineRule="exact"/>
        <w:ind w:firstLine="692" w:firstLineChars="200"/>
        <w:jc w:val="left"/>
        <w:rPr>
          <w:rFonts w:hint="eastAsia" w:ascii="Times New Roman" w:hAnsi="Times New Roman" w:eastAsia="仿宋" w:cs="Times New Roman"/>
          <w:color w:val="000000"/>
          <w:spacing w:val="13"/>
          <w:position w:val="21"/>
          <w:sz w:val="32"/>
          <w:szCs w:val="32"/>
          <w:lang w:val="en-US" w:eastAsia="zh-CN"/>
        </w:rPr>
      </w:pPr>
      <w:r>
        <w:rPr>
          <w:rFonts w:hint="eastAsia" w:ascii="Times New Roman" w:hAnsi="Times New Roman" w:eastAsia="仿宋" w:cs="Times New Roman"/>
          <w:color w:val="000000"/>
          <w:spacing w:val="13"/>
          <w:position w:val="21"/>
          <w:sz w:val="32"/>
          <w:szCs w:val="32"/>
          <w:lang w:val="en-US" w:eastAsia="en-US"/>
        </w:rPr>
        <w:t>本单位根据《行政单位国有资产管理暂行办法》、《行政事业单位国有资产报告制度》等有关规定，对本单位202</w:t>
      </w:r>
      <w:r>
        <w:rPr>
          <w:rFonts w:hint="eastAsia" w:ascii="Times New Roman" w:hAnsi="Times New Roman" w:cs="Times New Roman"/>
          <w:color w:val="000000"/>
          <w:spacing w:val="13"/>
          <w:position w:val="21"/>
          <w:sz w:val="32"/>
          <w:szCs w:val="32"/>
          <w:lang w:val="en-US" w:eastAsia="zh-CN"/>
        </w:rPr>
        <w:t>4</w:t>
      </w:r>
      <w:r>
        <w:rPr>
          <w:rFonts w:hint="eastAsia" w:ascii="Times New Roman" w:hAnsi="Times New Roman" w:eastAsia="仿宋" w:cs="Times New Roman"/>
          <w:color w:val="000000"/>
          <w:spacing w:val="13"/>
          <w:position w:val="21"/>
          <w:sz w:val="32"/>
          <w:szCs w:val="32"/>
          <w:lang w:val="en-US" w:eastAsia="en-US"/>
        </w:rPr>
        <w:t>年度资产进行有效管理和配置。</w:t>
      </w:r>
    </w:p>
    <w:p w14:paraId="5A0D8C2F">
      <w:pPr>
        <w:pStyle w:val="2"/>
        <w:spacing w:before="227" w:line="600" w:lineRule="exact"/>
        <w:ind w:firstLine="692" w:firstLineChars="200"/>
        <w:jc w:val="left"/>
        <w:rPr>
          <w:rFonts w:ascii="黑体" w:hAnsi="黑体" w:eastAsia="黑体" w:cs="黑体"/>
          <w:b/>
          <w:bCs/>
          <w:color w:val="000000"/>
          <w:spacing w:val="3"/>
          <w:sz w:val="31"/>
          <w:szCs w:val="31"/>
          <w:lang w:val="en-US" w:eastAsia="en-US"/>
        </w:rPr>
      </w:pPr>
      <w:r>
        <w:rPr>
          <w:rFonts w:hint="eastAsia" w:ascii="Times New Roman" w:hAnsi="Times New Roman" w:eastAsia="仿宋" w:cs="Times New Roman"/>
          <w:color w:val="000000"/>
          <w:spacing w:val="13"/>
          <w:position w:val="21"/>
          <w:sz w:val="32"/>
          <w:szCs w:val="32"/>
          <w:lang w:val="en-US" w:eastAsia="zh-CN"/>
        </w:rPr>
        <w:t>至202</w:t>
      </w:r>
      <w:r>
        <w:rPr>
          <w:rFonts w:hint="eastAsia" w:ascii="Times New Roman" w:hAnsi="Times New Roman" w:cs="Times New Roman"/>
          <w:color w:val="000000"/>
          <w:spacing w:val="13"/>
          <w:position w:val="21"/>
          <w:sz w:val="32"/>
          <w:szCs w:val="32"/>
          <w:lang w:val="en-US" w:eastAsia="zh-CN"/>
        </w:rPr>
        <w:t>4</w:t>
      </w:r>
      <w:r>
        <w:rPr>
          <w:rFonts w:hint="eastAsia" w:ascii="Times New Roman" w:hAnsi="Times New Roman" w:eastAsia="仿宋" w:cs="Times New Roman"/>
          <w:color w:val="000000"/>
          <w:spacing w:val="13"/>
          <w:position w:val="21"/>
          <w:sz w:val="32"/>
          <w:szCs w:val="32"/>
          <w:lang w:val="en-US" w:eastAsia="zh-CN"/>
        </w:rPr>
        <w:t>年12月</w:t>
      </w:r>
      <w:r>
        <w:rPr>
          <w:rFonts w:hint="eastAsia" w:ascii="Times New Roman" w:hAnsi="Times New Roman" w:cs="Times New Roman"/>
          <w:color w:val="000000"/>
          <w:spacing w:val="13"/>
          <w:position w:val="21"/>
          <w:sz w:val="32"/>
          <w:szCs w:val="32"/>
          <w:lang w:val="en-US" w:eastAsia="zh-CN"/>
        </w:rPr>
        <w:t>底</w:t>
      </w:r>
      <w:r>
        <w:rPr>
          <w:rFonts w:hint="eastAsia" w:ascii="Times New Roman" w:hAnsi="Times New Roman" w:eastAsia="仿宋" w:cs="Times New Roman"/>
          <w:color w:val="000000"/>
          <w:spacing w:val="13"/>
          <w:position w:val="21"/>
          <w:sz w:val="32"/>
          <w:szCs w:val="32"/>
          <w:lang w:val="en-US" w:eastAsia="zh-CN"/>
        </w:rPr>
        <w:t>，固定资产账面数量为2</w:t>
      </w:r>
      <w:r>
        <w:rPr>
          <w:rFonts w:hint="eastAsia" w:ascii="Times New Roman" w:hAnsi="Times New Roman" w:cs="Times New Roman"/>
          <w:color w:val="000000"/>
          <w:spacing w:val="13"/>
          <w:position w:val="21"/>
          <w:sz w:val="32"/>
          <w:szCs w:val="32"/>
          <w:lang w:val="en-US" w:eastAsia="zh-CN"/>
        </w:rPr>
        <w:t>22</w:t>
      </w:r>
      <w:r>
        <w:rPr>
          <w:rFonts w:hint="eastAsia" w:ascii="Times New Roman" w:hAnsi="Times New Roman" w:eastAsia="仿宋" w:cs="Times New Roman"/>
          <w:color w:val="000000"/>
          <w:spacing w:val="13"/>
          <w:position w:val="21"/>
          <w:sz w:val="32"/>
          <w:szCs w:val="32"/>
          <w:lang w:val="en-US" w:eastAsia="zh-CN"/>
        </w:rPr>
        <w:t>件，资产</w:t>
      </w:r>
      <w:r>
        <w:rPr>
          <w:rFonts w:hint="eastAsia" w:ascii="Times New Roman" w:hAnsi="Times New Roman" w:eastAsia="仿宋" w:cs="Times New Roman"/>
          <w:color w:val="000000"/>
          <w:spacing w:val="13"/>
          <w:position w:val="21"/>
          <w:sz w:val="32"/>
          <w:szCs w:val="32"/>
          <w:highlight w:val="none"/>
          <w:lang w:val="en-US" w:eastAsia="zh-CN"/>
        </w:rPr>
        <w:t>总</w:t>
      </w:r>
      <w:r>
        <w:rPr>
          <w:rFonts w:hint="eastAsia" w:ascii="Times New Roman" w:hAnsi="Times New Roman" w:cs="Times New Roman"/>
          <w:color w:val="000000"/>
          <w:spacing w:val="13"/>
          <w:position w:val="21"/>
          <w:sz w:val="32"/>
          <w:szCs w:val="32"/>
          <w:highlight w:val="none"/>
          <w:lang w:val="en-US" w:eastAsia="zh-CN"/>
        </w:rPr>
        <w:t>原</w:t>
      </w:r>
      <w:r>
        <w:rPr>
          <w:rFonts w:hint="eastAsia" w:ascii="Times New Roman" w:hAnsi="Times New Roman" w:eastAsia="仿宋" w:cs="Times New Roman"/>
          <w:color w:val="000000"/>
          <w:spacing w:val="13"/>
          <w:position w:val="21"/>
          <w:sz w:val="32"/>
          <w:szCs w:val="32"/>
          <w:highlight w:val="none"/>
          <w:lang w:val="en-US" w:eastAsia="zh-CN"/>
        </w:rPr>
        <w:t>值约为14</w:t>
      </w:r>
      <w:r>
        <w:rPr>
          <w:rFonts w:hint="eastAsia" w:ascii="Times New Roman" w:hAnsi="Times New Roman" w:cs="Times New Roman"/>
          <w:color w:val="000000"/>
          <w:spacing w:val="13"/>
          <w:position w:val="21"/>
          <w:sz w:val="32"/>
          <w:szCs w:val="32"/>
          <w:highlight w:val="none"/>
          <w:lang w:val="en-US" w:eastAsia="zh-CN"/>
        </w:rPr>
        <w:t>2.10</w:t>
      </w:r>
      <w:r>
        <w:rPr>
          <w:rFonts w:hint="eastAsia" w:ascii="Times New Roman" w:hAnsi="Times New Roman" w:eastAsia="仿宋" w:cs="Times New Roman"/>
          <w:color w:val="000000"/>
          <w:spacing w:val="13"/>
          <w:position w:val="21"/>
          <w:sz w:val="32"/>
          <w:szCs w:val="32"/>
          <w:highlight w:val="none"/>
          <w:lang w:val="en-US" w:eastAsia="zh-CN"/>
        </w:rPr>
        <w:t>万元</w:t>
      </w:r>
      <w:r>
        <w:rPr>
          <w:rFonts w:hint="eastAsia" w:ascii="Times New Roman" w:hAnsi="Times New Roman" w:cs="Times New Roman"/>
          <w:color w:val="000000"/>
          <w:spacing w:val="13"/>
          <w:position w:val="21"/>
          <w:sz w:val="32"/>
          <w:szCs w:val="32"/>
          <w:highlight w:val="none"/>
          <w:lang w:val="en-US" w:eastAsia="zh-CN"/>
        </w:rPr>
        <w:t>，固定资产累计折旧122.13万元，固定资产净值19.97万元</w:t>
      </w:r>
      <w:r>
        <w:rPr>
          <w:rFonts w:hint="eastAsia" w:ascii="Times New Roman" w:hAnsi="Times New Roman" w:eastAsia="仿宋" w:cs="Times New Roman"/>
          <w:color w:val="000000"/>
          <w:spacing w:val="13"/>
          <w:position w:val="21"/>
          <w:sz w:val="32"/>
          <w:szCs w:val="32"/>
          <w:lang w:val="en-US" w:eastAsia="zh-CN"/>
        </w:rPr>
        <w:t>。</w:t>
      </w:r>
      <w:r>
        <w:rPr>
          <w:rFonts w:hint="eastAsia" w:ascii="Times New Roman" w:hAnsi="Times New Roman" w:cs="Times New Roman"/>
          <w:color w:val="000000"/>
          <w:spacing w:val="13"/>
          <w:position w:val="21"/>
          <w:sz w:val="32"/>
          <w:szCs w:val="32"/>
          <w:lang w:val="en-US" w:eastAsia="zh-CN"/>
        </w:rPr>
        <w:t>期间</w:t>
      </w:r>
      <w:r>
        <w:rPr>
          <w:rFonts w:hint="eastAsia" w:ascii="Times New Roman" w:hAnsi="Times New Roman" w:eastAsia="仿宋" w:cs="Times New Roman"/>
          <w:color w:val="000000"/>
          <w:spacing w:val="13"/>
          <w:position w:val="21"/>
          <w:sz w:val="32"/>
          <w:szCs w:val="32"/>
          <w:lang w:val="en-US" w:eastAsia="zh-CN"/>
        </w:rPr>
        <w:t>购置两次固定资产，202</w:t>
      </w:r>
      <w:r>
        <w:rPr>
          <w:rFonts w:hint="eastAsia" w:ascii="Times New Roman" w:hAnsi="Times New Roman" w:cs="Times New Roman"/>
          <w:color w:val="000000"/>
          <w:spacing w:val="13"/>
          <w:position w:val="21"/>
          <w:sz w:val="32"/>
          <w:szCs w:val="32"/>
          <w:lang w:val="en-US" w:eastAsia="zh-CN"/>
        </w:rPr>
        <w:t>4</w:t>
      </w:r>
      <w:r>
        <w:rPr>
          <w:rFonts w:hint="eastAsia" w:ascii="Times New Roman" w:hAnsi="Times New Roman" w:eastAsia="仿宋" w:cs="Times New Roman"/>
          <w:color w:val="000000"/>
          <w:spacing w:val="13"/>
          <w:position w:val="21"/>
          <w:sz w:val="32"/>
          <w:szCs w:val="32"/>
          <w:lang w:val="en-US" w:eastAsia="zh-CN"/>
        </w:rPr>
        <w:t>年</w:t>
      </w:r>
      <w:r>
        <w:rPr>
          <w:rFonts w:hint="eastAsia" w:ascii="Times New Roman" w:hAnsi="Times New Roman" w:cs="Times New Roman"/>
          <w:color w:val="000000"/>
          <w:spacing w:val="13"/>
          <w:position w:val="21"/>
          <w:sz w:val="32"/>
          <w:szCs w:val="32"/>
          <w:lang w:val="en-US" w:eastAsia="zh-CN"/>
        </w:rPr>
        <w:t>5</w:t>
      </w:r>
      <w:r>
        <w:rPr>
          <w:rFonts w:hint="eastAsia" w:ascii="Times New Roman" w:hAnsi="Times New Roman" w:eastAsia="仿宋" w:cs="Times New Roman"/>
          <w:color w:val="000000"/>
          <w:spacing w:val="13"/>
          <w:position w:val="21"/>
          <w:sz w:val="32"/>
          <w:szCs w:val="32"/>
          <w:lang w:val="en-US" w:eastAsia="zh-CN"/>
        </w:rPr>
        <w:t>月购置一</w:t>
      </w:r>
      <w:r>
        <w:rPr>
          <w:rFonts w:hint="eastAsia" w:ascii="Times New Roman" w:hAnsi="Times New Roman" w:cs="Times New Roman"/>
          <w:color w:val="000000"/>
          <w:spacing w:val="13"/>
          <w:position w:val="21"/>
          <w:sz w:val="32"/>
          <w:szCs w:val="32"/>
          <w:lang w:val="en-US" w:eastAsia="zh-CN"/>
        </w:rPr>
        <w:t>把办公椅，</w:t>
      </w:r>
      <w:r>
        <w:rPr>
          <w:rFonts w:hint="eastAsia" w:ascii="Times New Roman" w:hAnsi="Times New Roman" w:eastAsia="仿宋" w:cs="Times New Roman"/>
          <w:color w:val="000000"/>
          <w:spacing w:val="13"/>
          <w:position w:val="21"/>
          <w:sz w:val="32"/>
          <w:szCs w:val="32"/>
          <w:lang w:val="en-US" w:eastAsia="zh-CN"/>
        </w:rPr>
        <w:t>账面价值</w:t>
      </w:r>
      <w:r>
        <w:rPr>
          <w:rFonts w:hint="eastAsia" w:ascii="Times New Roman" w:hAnsi="Times New Roman" w:cs="Times New Roman"/>
          <w:color w:val="000000"/>
          <w:spacing w:val="13"/>
          <w:position w:val="21"/>
          <w:sz w:val="32"/>
          <w:szCs w:val="32"/>
          <w:lang w:val="en-US" w:eastAsia="zh-CN"/>
        </w:rPr>
        <w:t>0.08万</w:t>
      </w:r>
      <w:r>
        <w:rPr>
          <w:rFonts w:hint="eastAsia" w:ascii="Times New Roman" w:hAnsi="Times New Roman" w:eastAsia="仿宋" w:cs="Times New Roman"/>
          <w:color w:val="000000"/>
          <w:spacing w:val="13"/>
          <w:position w:val="21"/>
          <w:sz w:val="32"/>
          <w:szCs w:val="32"/>
          <w:lang w:val="en-US" w:eastAsia="zh-CN"/>
        </w:rPr>
        <w:t>元、一台</w:t>
      </w:r>
      <w:r>
        <w:rPr>
          <w:rFonts w:hint="eastAsia" w:ascii="Times New Roman" w:hAnsi="Times New Roman" w:cs="Times New Roman"/>
          <w:color w:val="000000"/>
          <w:spacing w:val="13"/>
          <w:position w:val="21"/>
          <w:sz w:val="32"/>
          <w:szCs w:val="32"/>
          <w:lang w:val="en-US" w:eastAsia="zh-CN"/>
        </w:rPr>
        <w:t>激光打印机，</w:t>
      </w:r>
      <w:r>
        <w:rPr>
          <w:rFonts w:hint="eastAsia" w:ascii="Times New Roman" w:hAnsi="Times New Roman" w:eastAsia="仿宋" w:cs="Times New Roman"/>
          <w:color w:val="000000"/>
          <w:spacing w:val="13"/>
          <w:position w:val="21"/>
          <w:sz w:val="32"/>
          <w:szCs w:val="32"/>
          <w:lang w:val="en-US" w:eastAsia="zh-CN"/>
        </w:rPr>
        <w:t>账面价值</w:t>
      </w:r>
      <w:r>
        <w:rPr>
          <w:rFonts w:hint="eastAsia" w:ascii="Times New Roman" w:hAnsi="Times New Roman" w:cs="Times New Roman"/>
          <w:color w:val="000000"/>
          <w:spacing w:val="13"/>
          <w:position w:val="21"/>
          <w:sz w:val="32"/>
          <w:szCs w:val="32"/>
          <w:lang w:val="en-US" w:eastAsia="zh-CN"/>
        </w:rPr>
        <w:t>0.21</w:t>
      </w:r>
      <w:r>
        <w:rPr>
          <w:rFonts w:hint="eastAsia" w:ascii="Times New Roman" w:hAnsi="Times New Roman" w:eastAsia="仿宋" w:cs="Times New Roman"/>
          <w:color w:val="000000"/>
          <w:spacing w:val="13"/>
          <w:position w:val="21"/>
          <w:sz w:val="32"/>
          <w:szCs w:val="32"/>
          <w:lang w:val="en-US" w:eastAsia="zh-CN"/>
        </w:rPr>
        <w:t>元、</w:t>
      </w:r>
      <w:r>
        <w:rPr>
          <w:rFonts w:hint="eastAsia" w:ascii="Times New Roman" w:hAnsi="Times New Roman" w:cs="Times New Roman"/>
          <w:color w:val="000000"/>
          <w:spacing w:val="13"/>
          <w:position w:val="21"/>
          <w:sz w:val="32"/>
          <w:szCs w:val="32"/>
          <w:lang w:val="en-US" w:eastAsia="zh-CN"/>
        </w:rPr>
        <w:t>六</w:t>
      </w:r>
      <w:r>
        <w:rPr>
          <w:rFonts w:hint="eastAsia" w:ascii="Times New Roman" w:hAnsi="Times New Roman" w:eastAsia="仿宋" w:cs="Times New Roman"/>
          <w:color w:val="000000"/>
          <w:spacing w:val="13"/>
          <w:position w:val="21"/>
          <w:sz w:val="32"/>
          <w:szCs w:val="32"/>
          <w:lang w:val="en-US" w:eastAsia="zh-CN"/>
        </w:rPr>
        <w:t>台</w:t>
      </w:r>
      <w:r>
        <w:rPr>
          <w:rFonts w:hint="eastAsia" w:ascii="Times New Roman" w:hAnsi="Times New Roman" w:cs="Times New Roman"/>
          <w:color w:val="000000"/>
          <w:spacing w:val="13"/>
          <w:position w:val="21"/>
          <w:sz w:val="32"/>
          <w:szCs w:val="32"/>
          <w:lang w:val="en-US" w:eastAsia="zh-CN"/>
        </w:rPr>
        <w:t>台式电脑，</w:t>
      </w:r>
      <w:r>
        <w:rPr>
          <w:rFonts w:hint="eastAsia" w:ascii="Times New Roman" w:hAnsi="Times New Roman" w:eastAsia="仿宋" w:cs="Times New Roman"/>
          <w:color w:val="000000"/>
          <w:spacing w:val="13"/>
          <w:position w:val="21"/>
          <w:sz w:val="32"/>
          <w:szCs w:val="32"/>
          <w:lang w:val="en-US" w:eastAsia="zh-CN"/>
        </w:rPr>
        <w:t>账面价值</w:t>
      </w:r>
      <w:r>
        <w:rPr>
          <w:rFonts w:hint="eastAsia" w:ascii="Times New Roman" w:hAnsi="Times New Roman" w:cs="Times New Roman"/>
          <w:color w:val="000000"/>
          <w:spacing w:val="13"/>
          <w:position w:val="21"/>
          <w:sz w:val="32"/>
          <w:szCs w:val="32"/>
          <w:lang w:val="en-US" w:eastAsia="zh-CN"/>
        </w:rPr>
        <w:t>4.91万</w:t>
      </w:r>
      <w:r>
        <w:rPr>
          <w:rFonts w:hint="eastAsia" w:ascii="Times New Roman" w:hAnsi="Times New Roman" w:eastAsia="仿宋" w:cs="Times New Roman"/>
          <w:color w:val="000000"/>
          <w:spacing w:val="13"/>
          <w:position w:val="21"/>
          <w:sz w:val="32"/>
          <w:szCs w:val="32"/>
          <w:lang w:val="en-US" w:eastAsia="zh-CN"/>
        </w:rPr>
        <w:t>元，202</w:t>
      </w:r>
      <w:r>
        <w:rPr>
          <w:rFonts w:hint="eastAsia" w:ascii="Times New Roman" w:hAnsi="Times New Roman" w:cs="Times New Roman"/>
          <w:color w:val="000000"/>
          <w:spacing w:val="13"/>
          <w:position w:val="21"/>
          <w:sz w:val="32"/>
          <w:szCs w:val="32"/>
          <w:lang w:val="en-US" w:eastAsia="zh-CN"/>
        </w:rPr>
        <w:t>4</w:t>
      </w:r>
      <w:r>
        <w:rPr>
          <w:rFonts w:hint="eastAsia" w:ascii="Times New Roman" w:hAnsi="Times New Roman" w:eastAsia="仿宋" w:cs="Times New Roman"/>
          <w:color w:val="000000"/>
          <w:spacing w:val="13"/>
          <w:position w:val="21"/>
          <w:sz w:val="32"/>
          <w:szCs w:val="32"/>
          <w:lang w:val="en-US" w:eastAsia="zh-CN"/>
        </w:rPr>
        <w:t>年1</w:t>
      </w:r>
      <w:r>
        <w:rPr>
          <w:rFonts w:hint="eastAsia" w:ascii="Times New Roman" w:hAnsi="Times New Roman" w:cs="Times New Roman"/>
          <w:color w:val="000000"/>
          <w:spacing w:val="13"/>
          <w:position w:val="21"/>
          <w:sz w:val="32"/>
          <w:szCs w:val="32"/>
          <w:lang w:val="en-US" w:eastAsia="zh-CN"/>
        </w:rPr>
        <w:t>1</w:t>
      </w:r>
      <w:r>
        <w:rPr>
          <w:rFonts w:hint="eastAsia" w:ascii="Times New Roman" w:hAnsi="Times New Roman" w:eastAsia="仿宋" w:cs="Times New Roman"/>
          <w:color w:val="000000"/>
          <w:spacing w:val="13"/>
          <w:position w:val="21"/>
          <w:sz w:val="32"/>
          <w:szCs w:val="32"/>
          <w:lang w:val="en-US" w:eastAsia="zh-CN"/>
        </w:rPr>
        <w:t>月购置一台</w:t>
      </w:r>
      <w:r>
        <w:rPr>
          <w:rFonts w:hint="eastAsia" w:ascii="Times New Roman" w:hAnsi="Times New Roman" w:cs="Times New Roman"/>
          <w:color w:val="000000"/>
          <w:spacing w:val="13"/>
          <w:position w:val="21"/>
          <w:sz w:val="32"/>
          <w:szCs w:val="32"/>
          <w:lang w:val="en-US" w:eastAsia="zh-CN"/>
        </w:rPr>
        <w:t>彩色激光多功能一体机，</w:t>
      </w:r>
      <w:r>
        <w:rPr>
          <w:rFonts w:hint="eastAsia" w:ascii="Times New Roman" w:hAnsi="Times New Roman" w:eastAsia="仿宋" w:cs="Times New Roman"/>
          <w:color w:val="000000"/>
          <w:spacing w:val="13"/>
          <w:position w:val="21"/>
          <w:sz w:val="32"/>
          <w:szCs w:val="32"/>
          <w:lang w:val="en-US" w:eastAsia="zh-CN"/>
        </w:rPr>
        <w:t>账面价值</w:t>
      </w:r>
      <w:r>
        <w:rPr>
          <w:rFonts w:hint="eastAsia" w:ascii="Times New Roman" w:hAnsi="Times New Roman" w:cs="Times New Roman"/>
          <w:color w:val="000000"/>
          <w:spacing w:val="13"/>
          <w:position w:val="21"/>
          <w:sz w:val="32"/>
          <w:szCs w:val="32"/>
          <w:lang w:val="en-US" w:eastAsia="zh-CN"/>
        </w:rPr>
        <w:t>0.93万</w:t>
      </w:r>
      <w:r>
        <w:rPr>
          <w:rFonts w:hint="eastAsia" w:ascii="Times New Roman" w:hAnsi="Times New Roman" w:eastAsia="仿宋" w:cs="Times New Roman"/>
          <w:color w:val="000000"/>
          <w:spacing w:val="13"/>
          <w:position w:val="21"/>
          <w:sz w:val="32"/>
          <w:szCs w:val="32"/>
          <w:lang w:val="en-US" w:eastAsia="zh-CN"/>
        </w:rPr>
        <w:t>元均已入账。办公用房为区政府提供的统一办公楼，没有无形资产、大型设备、土地，无出租出借资产，无对外投资资产等</w:t>
      </w:r>
      <w:r>
        <w:rPr>
          <w:rFonts w:hint="eastAsia" w:ascii="Times New Roman" w:hAnsi="Times New Roman" w:cs="Times New Roman"/>
          <w:color w:val="000000"/>
          <w:spacing w:val="13"/>
          <w:position w:val="21"/>
          <w:sz w:val="32"/>
          <w:szCs w:val="32"/>
          <w:lang w:val="en-US" w:eastAsia="zh-CN"/>
        </w:rPr>
        <w:t>。</w:t>
      </w:r>
    </w:p>
    <w:p w14:paraId="4D12F6C6">
      <w:pPr>
        <w:pStyle w:val="3"/>
        <w:numPr>
          <w:ilvl w:val="0"/>
          <w:numId w:val="3"/>
        </w:numPr>
        <w:spacing w:before="100" w:line="222" w:lineRule="auto"/>
        <w:ind w:firstLine="634" w:firstLineChars="200"/>
        <w:jc w:val="left"/>
        <w:rPr>
          <w:rFonts w:ascii="黑体" w:hAnsi="黑体" w:eastAsia="黑体" w:cs="黑体"/>
          <w:b/>
          <w:bCs/>
          <w:color w:val="000000"/>
          <w:spacing w:val="3"/>
          <w:sz w:val="31"/>
          <w:szCs w:val="31"/>
          <w:lang w:val="en-US" w:eastAsia="en-US"/>
        </w:rPr>
      </w:pPr>
      <w:r>
        <w:rPr>
          <w:rFonts w:ascii="黑体" w:hAnsi="黑体" w:eastAsia="黑体" w:cs="黑体"/>
          <w:b/>
          <w:bCs/>
          <w:color w:val="000000"/>
          <w:spacing w:val="3"/>
          <w:sz w:val="31"/>
          <w:szCs w:val="31"/>
          <w:lang w:val="en-US" w:eastAsia="en-US"/>
        </w:rPr>
        <w:t>政府性基金预算支出情况</w:t>
      </w:r>
    </w:p>
    <w:p w14:paraId="1BAFD6E4">
      <w:pPr>
        <w:pStyle w:val="3"/>
        <w:numPr>
          <w:ilvl w:val="0"/>
          <w:numId w:val="0"/>
        </w:numPr>
        <w:spacing w:before="100" w:line="222" w:lineRule="auto"/>
        <w:ind w:firstLine="692" w:firstLineChars="200"/>
        <w:jc w:val="left"/>
        <w:rPr>
          <w:rFonts w:hint="eastAsia" w:ascii="Times New Roman" w:hAnsi="Times New Roman" w:eastAsia="仿宋" w:cs="Times New Roman"/>
          <w:snapToGrid w:val="0"/>
          <w:color w:val="000000"/>
          <w:spacing w:val="13"/>
          <w:kern w:val="0"/>
          <w:position w:val="21"/>
          <w:sz w:val="32"/>
          <w:szCs w:val="32"/>
          <w:lang w:val="en-US" w:eastAsia="zh-CN" w:bidi="ar-SA"/>
        </w:rPr>
      </w:pPr>
      <w:r>
        <w:rPr>
          <w:rFonts w:hint="eastAsia" w:ascii="Times New Roman" w:hAnsi="Times New Roman" w:eastAsia="仿宋" w:cs="Times New Roman"/>
          <w:snapToGrid w:val="0"/>
          <w:color w:val="000000"/>
          <w:spacing w:val="13"/>
          <w:kern w:val="0"/>
          <w:position w:val="21"/>
          <w:sz w:val="32"/>
          <w:szCs w:val="32"/>
          <w:lang w:val="en-US" w:eastAsia="zh-CN" w:bidi="ar-SA"/>
        </w:rPr>
        <w:t>无政府性基金</w:t>
      </w:r>
    </w:p>
    <w:p w14:paraId="664E89EC">
      <w:pPr>
        <w:pStyle w:val="3"/>
        <w:numPr>
          <w:ilvl w:val="0"/>
          <w:numId w:val="3"/>
        </w:numPr>
        <w:spacing w:before="100" w:line="222" w:lineRule="auto"/>
        <w:ind w:left="0" w:leftChars="0" w:firstLine="626" w:firstLineChars="200"/>
        <w:jc w:val="left"/>
        <w:rPr>
          <w:rFonts w:ascii="黑体" w:hAnsi="黑体" w:eastAsia="黑体" w:cs="黑体"/>
          <w:b/>
          <w:bCs/>
          <w:color w:val="000000"/>
          <w:spacing w:val="1"/>
          <w:sz w:val="31"/>
          <w:szCs w:val="31"/>
          <w:lang w:val="en-US" w:eastAsia="en-US"/>
        </w:rPr>
      </w:pPr>
      <w:r>
        <w:rPr>
          <w:rFonts w:ascii="黑体" w:hAnsi="黑体" w:eastAsia="黑体" w:cs="黑体"/>
          <w:b/>
          <w:bCs/>
          <w:color w:val="000000"/>
          <w:spacing w:val="1"/>
          <w:sz w:val="31"/>
          <w:szCs w:val="31"/>
          <w:lang w:val="en-US" w:eastAsia="en-US"/>
        </w:rPr>
        <w:t>国有资本经营预算支出情况</w:t>
      </w:r>
    </w:p>
    <w:p w14:paraId="7E145860">
      <w:pPr>
        <w:pStyle w:val="3"/>
        <w:numPr>
          <w:ilvl w:val="0"/>
          <w:numId w:val="0"/>
        </w:numPr>
        <w:spacing w:before="100" w:line="222" w:lineRule="auto"/>
        <w:ind w:left="420" w:leftChars="200"/>
        <w:jc w:val="left"/>
        <w:rPr>
          <w:rFonts w:hint="default" w:ascii="黑体" w:hAnsi="黑体" w:eastAsia="黑体" w:cs="黑体"/>
          <w:b/>
          <w:bCs/>
          <w:color w:val="000000"/>
          <w:spacing w:val="1"/>
          <w:sz w:val="31"/>
          <w:szCs w:val="31"/>
          <w:lang w:val="en-US" w:eastAsia="zh-CN"/>
        </w:rPr>
      </w:pPr>
      <w:r>
        <w:rPr>
          <w:rFonts w:hint="eastAsia" w:ascii="黑体" w:hAnsi="黑体" w:eastAsia="黑体" w:cs="黑体"/>
          <w:b/>
          <w:bCs/>
          <w:color w:val="000000"/>
          <w:spacing w:val="1"/>
          <w:sz w:val="31"/>
          <w:szCs w:val="31"/>
          <w:lang w:val="en-US" w:eastAsia="zh-CN"/>
        </w:rPr>
        <w:t xml:space="preserve">  </w:t>
      </w:r>
      <w:r>
        <w:rPr>
          <w:rFonts w:hint="eastAsia" w:ascii="Times New Roman" w:hAnsi="Times New Roman" w:eastAsia="仿宋" w:cs="Times New Roman"/>
          <w:snapToGrid w:val="0"/>
          <w:color w:val="000000"/>
          <w:spacing w:val="13"/>
          <w:kern w:val="0"/>
          <w:position w:val="21"/>
          <w:sz w:val="32"/>
          <w:szCs w:val="32"/>
          <w:lang w:val="en-US" w:eastAsia="zh-CN" w:bidi="ar-SA"/>
        </w:rPr>
        <w:t>无国有资本经营</w:t>
      </w:r>
    </w:p>
    <w:p w14:paraId="50BB4870">
      <w:pPr>
        <w:pStyle w:val="3"/>
        <w:numPr>
          <w:ilvl w:val="0"/>
          <w:numId w:val="3"/>
        </w:numPr>
        <w:spacing w:before="217" w:line="222" w:lineRule="auto"/>
        <w:ind w:left="0" w:leftChars="0" w:firstLine="626" w:firstLineChars="200"/>
        <w:jc w:val="left"/>
        <w:rPr>
          <w:rFonts w:ascii="黑体" w:hAnsi="黑体" w:eastAsia="黑体" w:cs="黑体"/>
          <w:b/>
          <w:bCs/>
          <w:color w:val="000000"/>
          <w:spacing w:val="1"/>
          <w:sz w:val="31"/>
          <w:szCs w:val="31"/>
          <w:lang w:val="en-US" w:eastAsia="en-US"/>
        </w:rPr>
      </w:pPr>
      <w:r>
        <w:rPr>
          <w:rFonts w:ascii="黑体" w:hAnsi="黑体" w:eastAsia="黑体" w:cs="黑体"/>
          <w:b/>
          <w:bCs/>
          <w:color w:val="000000"/>
          <w:spacing w:val="1"/>
          <w:sz w:val="31"/>
          <w:szCs w:val="31"/>
          <w:lang w:val="en-US" w:eastAsia="en-US"/>
        </w:rPr>
        <w:t>社会保险基金预算支出情况</w:t>
      </w:r>
    </w:p>
    <w:p w14:paraId="568B1C92">
      <w:pPr>
        <w:pStyle w:val="3"/>
        <w:numPr>
          <w:ilvl w:val="0"/>
          <w:numId w:val="0"/>
        </w:numPr>
        <w:spacing w:before="217" w:line="222" w:lineRule="auto"/>
        <w:ind w:left="420" w:leftChars="200"/>
        <w:jc w:val="left"/>
        <w:rPr>
          <w:rFonts w:hint="default" w:ascii="黑体" w:hAnsi="黑体" w:eastAsia="黑体" w:cs="黑体"/>
          <w:b/>
          <w:bCs/>
          <w:color w:val="000000"/>
          <w:spacing w:val="1"/>
          <w:sz w:val="31"/>
          <w:szCs w:val="31"/>
          <w:lang w:val="en-US" w:eastAsia="zh-CN"/>
        </w:rPr>
      </w:pPr>
      <w:r>
        <w:rPr>
          <w:rFonts w:hint="eastAsia" w:ascii="黑体" w:hAnsi="黑体" w:eastAsia="黑体" w:cs="黑体"/>
          <w:b/>
          <w:bCs/>
          <w:color w:val="000000"/>
          <w:spacing w:val="1"/>
          <w:sz w:val="31"/>
          <w:szCs w:val="31"/>
          <w:lang w:val="en-US" w:eastAsia="zh-CN"/>
        </w:rPr>
        <w:t xml:space="preserve">  </w:t>
      </w:r>
      <w:r>
        <w:rPr>
          <w:rFonts w:hint="eastAsia" w:ascii="Times New Roman" w:hAnsi="Times New Roman" w:eastAsia="仿宋" w:cs="Times New Roman"/>
          <w:snapToGrid w:val="0"/>
          <w:color w:val="000000"/>
          <w:spacing w:val="13"/>
          <w:kern w:val="0"/>
          <w:position w:val="21"/>
          <w:sz w:val="32"/>
          <w:szCs w:val="32"/>
          <w:lang w:val="en-US" w:eastAsia="zh-CN" w:bidi="ar-SA"/>
        </w:rPr>
        <w:t>无社会保险基金</w:t>
      </w:r>
    </w:p>
    <w:p w14:paraId="1653B27F">
      <w:pPr>
        <w:pStyle w:val="3"/>
        <w:spacing w:before="236" w:line="221" w:lineRule="auto"/>
        <w:ind w:left="624"/>
        <w:jc w:val="left"/>
        <w:rPr>
          <w:rFonts w:ascii="黑体" w:hAnsi="黑体" w:eastAsia="黑体" w:cs="黑体"/>
          <w:color w:val="000000"/>
          <w:sz w:val="31"/>
          <w:szCs w:val="31"/>
          <w:lang w:val="en-US" w:eastAsia="en-US"/>
        </w:rPr>
      </w:pPr>
      <w:r>
        <w:rPr>
          <w:rFonts w:ascii="黑体" w:hAnsi="黑体" w:eastAsia="黑体" w:cs="黑体"/>
          <w:b/>
          <w:bCs/>
          <w:color w:val="000000"/>
          <w:spacing w:val="2"/>
          <w:sz w:val="31"/>
          <w:szCs w:val="31"/>
          <w:lang w:val="en-US" w:eastAsia="en-US"/>
        </w:rPr>
        <w:t>八、部门整体支出绩效情况</w:t>
      </w:r>
    </w:p>
    <w:p w14:paraId="5AE20363">
      <w:pPr>
        <w:pStyle w:val="2"/>
        <w:spacing w:before="211" w:line="366" w:lineRule="auto"/>
        <w:ind w:firstLine="620"/>
        <w:jc w:val="both"/>
        <w:rPr>
          <w:color w:val="000000"/>
          <w:spacing w:val="15"/>
          <w:sz w:val="25"/>
          <w:szCs w:val="25"/>
          <w:lang w:val="en-US" w:eastAsia="en-US"/>
        </w:rPr>
      </w:pPr>
      <w:r>
        <w:rPr>
          <w:color w:val="000000"/>
          <w:lang w:val="en-US" w:eastAsia="en-US"/>
        </w:rPr>
        <w:t>总结归纳本部门“四本预算”支出的绩效目标完成</w:t>
      </w:r>
      <w:r>
        <w:rPr>
          <w:color w:val="000000"/>
          <w:spacing w:val="-1"/>
          <w:lang w:val="en-US" w:eastAsia="en-US"/>
        </w:rPr>
        <w:t>情况，实</w:t>
      </w:r>
      <w:r>
        <w:rPr>
          <w:color w:val="000000"/>
          <w:lang w:val="en-US" w:eastAsia="en-US"/>
        </w:rPr>
        <w:t xml:space="preserve"> </w:t>
      </w:r>
      <w:r>
        <w:rPr>
          <w:color w:val="000000"/>
          <w:spacing w:val="12"/>
          <w:lang w:val="en-US" w:eastAsia="en-US"/>
        </w:rPr>
        <w:t>现产出和取得效益的情况。围绕部门职责、行业发展规划，以</w:t>
      </w:r>
      <w:r>
        <w:rPr>
          <w:color w:val="000000"/>
          <w:spacing w:val="11"/>
          <w:lang w:val="en-US" w:eastAsia="en-US"/>
        </w:rPr>
        <w:t xml:space="preserve"> </w:t>
      </w:r>
      <w:r>
        <w:rPr>
          <w:color w:val="000000"/>
          <w:spacing w:val="12"/>
          <w:lang w:val="en-US" w:eastAsia="en-US"/>
        </w:rPr>
        <w:t>预算资金管理为主线，结合部门资产管理和开展</w:t>
      </w:r>
      <w:r>
        <w:rPr>
          <w:color w:val="000000"/>
          <w:spacing w:val="11"/>
          <w:lang w:val="en-US" w:eastAsia="en-US"/>
        </w:rPr>
        <w:t>业务情况，从</w:t>
      </w:r>
      <w:r>
        <w:rPr>
          <w:color w:val="000000"/>
          <w:lang w:val="en-US" w:eastAsia="en-US"/>
        </w:rPr>
        <w:t xml:space="preserve"> </w:t>
      </w:r>
      <w:r>
        <w:rPr>
          <w:color w:val="000000"/>
          <w:spacing w:val="12"/>
          <w:lang w:val="en-US" w:eastAsia="en-US"/>
        </w:rPr>
        <w:t>运行成本、管理效率、履职效能、社会效应、可持续发展能力</w:t>
      </w:r>
      <w:r>
        <w:rPr>
          <w:color w:val="000000"/>
          <w:spacing w:val="5"/>
          <w:lang w:val="en-US" w:eastAsia="en-US"/>
        </w:rPr>
        <w:t xml:space="preserve"> </w:t>
      </w:r>
      <w:r>
        <w:rPr>
          <w:color w:val="000000"/>
          <w:spacing w:val="11"/>
          <w:lang w:val="en-US" w:eastAsia="en-US"/>
        </w:rPr>
        <w:t>和服务对象满意度等方面，衡量部门整体及重点项目实施绩效情况</w:t>
      </w:r>
      <w:bookmarkStart w:id="0" w:name="_GoBack"/>
      <w:bookmarkEnd w:id="0"/>
      <w:r>
        <w:rPr>
          <w:color w:val="000000"/>
          <w:spacing w:val="11"/>
          <w:lang w:val="en-US" w:eastAsia="en-US"/>
        </w:rPr>
        <w:t>。</w:t>
      </w:r>
    </w:p>
    <w:p w14:paraId="7F15EA6C">
      <w:pPr>
        <w:pStyle w:val="8"/>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ascii="仿宋" w:hAnsi="仿宋" w:eastAsia="仿宋" w:cs="仿宋"/>
          <w:snapToGrid w:val="0"/>
          <w:color w:val="000000"/>
          <w:spacing w:val="11"/>
          <w:kern w:val="0"/>
          <w:sz w:val="31"/>
          <w:szCs w:val="31"/>
          <w:lang w:val="en-US" w:eastAsia="en-US" w:bidi="ar-SA"/>
        </w:rPr>
      </w:pPr>
      <w:r>
        <w:rPr>
          <w:rFonts w:hint="eastAsia" w:eastAsia="宋体"/>
          <w:color w:val="000000"/>
          <w:spacing w:val="15"/>
          <w:sz w:val="25"/>
          <w:szCs w:val="25"/>
          <w:lang w:val="en-US" w:eastAsia="zh-CN"/>
        </w:rPr>
        <w:t xml:space="preserve"> </w:t>
      </w:r>
      <w:r>
        <w:rPr>
          <w:rFonts w:hint="eastAsia" w:ascii="仿宋" w:hAnsi="仿宋" w:eastAsia="仿宋" w:cs="仿宋"/>
          <w:snapToGrid w:val="0"/>
          <w:color w:val="000000"/>
          <w:spacing w:val="11"/>
          <w:kern w:val="0"/>
          <w:sz w:val="31"/>
          <w:szCs w:val="31"/>
          <w:lang w:val="en-US" w:eastAsia="zh-CN" w:bidi="ar-SA"/>
        </w:rPr>
        <w:t xml:space="preserve"> </w:t>
      </w:r>
      <w:r>
        <w:rPr>
          <w:rFonts w:ascii="仿宋" w:hAnsi="仿宋" w:eastAsia="仿宋" w:cs="仿宋"/>
          <w:snapToGrid w:val="0"/>
          <w:color w:val="000000"/>
          <w:spacing w:val="11"/>
          <w:kern w:val="0"/>
          <w:sz w:val="31"/>
          <w:szCs w:val="31"/>
          <w:lang w:val="en-US" w:eastAsia="en-US" w:bidi="ar-SA"/>
        </w:rPr>
        <w:t>202</w:t>
      </w:r>
      <w:r>
        <w:rPr>
          <w:rFonts w:hint="eastAsia" w:ascii="仿宋" w:hAnsi="仿宋" w:eastAsia="仿宋" w:cs="仿宋"/>
          <w:snapToGrid w:val="0"/>
          <w:color w:val="000000"/>
          <w:spacing w:val="11"/>
          <w:kern w:val="0"/>
          <w:sz w:val="31"/>
          <w:szCs w:val="31"/>
          <w:lang w:val="en-US" w:eastAsia="en-US" w:bidi="ar-SA"/>
        </w:rPr>
        <w:t>4</w:t>
      </w:r>
      <w:r>
        <w:rPr>
          <w:rFonts w:ascii="仿宋" w:hAnsi="仿宋" w:eastAsia="仿宋" w:cs="仿宋"/>
          <w:snapToGrid w:val="0"/>
          <w:color w:val="000000"/>
          <w:spacing w:val="11"/>
          <w:kern w:val="0"/>
          <w:sz w:val="31"/>
          <w:szCs w:val="31"/>
          <w:lang w:val="en-US" w:eastAsia="en-US" w:bidi="ar-SA"/>
        </w:rPr>
        <w:t>年</w:t>
      </w:r>
      <w:r>
        <w:rPr>
          <w:rFonts w:hint="eastAsia" w:ascii="仿宋" w:hAnsi="仿宋" w:eastAsia="仿宋" w:cs="仿宋"/>
          <w:snapToGrid w:val="0"/>
          <w:color w:val="000000"/>
          <w:spacing w:val="11"/>
          <w:kern w:val="0"/>
          <w:sz w:val="31"/>
          <w:szCs w:val="31"/>
          <w:lang w:val="en-US" w:eastAsia="en-US" w:bidi="ar-SA"/>
        </w:rPr>
        <w:t>，</w:t>
      </w:r>
      <w:r>
        <w:rPr>
          <w:rFonts w:ascii="仿宋" w:hAnsi="仿宋" w:eastAsia="仿宋" w:cs="仿宋"/>
          <w:snapToGrid w:val="0"/>
          <w:color w:val="000000"/>
          <w:spacing w:val="11"/>
          <w:kern w:val="0"/>
          <w:sz w:val="31"/>
          <w:szCs w:val="31"/>
          <w:lang w:val="en-US" w:eastAsia="en-US" w:bidi="ar-SA"/>
        </w:rPr>
        <w:t>以习近平新时代中国特色社会主义思想为指导，</w:t>
      </w:r>
      <w:r>
        <w:rPr>
          <w:rFonts w:hint="eastAsia" w:ascii="仿宋" w:hAnsi="仿宋" w:eastAsia="仿宋" w:cs="仿宋"/>
          <w:snapToGrid w:val="0"/>
          <w:color w:val="000000"/>
          <w:spacing w:val="11"/>
          <w:kern w:val="0"/>
          <w:sz w:val="31"/>
          <w:szCs w:val="31"/>
          <w:lang w:val="en-US" w:eastAsia="zh-CN" w:bidi="ar-SA"/>
        </w:rPr>
        <w:t>在市生态环境局和区委、区政府的坚强领导下，我局</w:t>
      </w:r>
      <w:r>
        <w:rPr>
          <w:rFonts w:ascii="仿宋" w:hAnsi="仿宋" w:eastAsia="仿宋" w:cs="仿宋"/>
          <w:snapToGrid w:val="0"/>
          <w:color w:val="000000"/>
          <w:spacing w:val="11"/>
          <w:kern w:val="0"/>
          <w:sz w:val="31"/>
          <w:szCs w:val="31"/>
          <w:lang w:val="en-US" w:eastAsia="en-US" w:bidi="ar-SA"/>
        </w:rPr>
        <w:t>持续加强政治思想建设、班子能力建设、廉政作风建设、干部队伍建设，切实强化“党政同责”、“一岗双责”责任约束，进一步加强生态环境保护，深入打好污染防治攻坚战，推动生态文明建设取得积极成效。</w:t>
      </w:r>
    </w:p>
    <w:p w14:paraId="7C226D6B">
      <w:pPr>
        <w:pStyle w:val="3"/>
        <w:keepNext w:val="0"/>
        <w:keepLines w:val="0"/>
        <w:pageBreakBefore w:val="0"/>
        <w:widowControl w:val="0"/>
        <w:kinsoku/>
        <w:wordWrap/>
        <w:overflowPunct/>
        <w:topLinePunct w:val="0"/>
        <w:autoSpaceDE/>
        <w:autoSpaceDN/>
        <w:bidi w:val="0"/>
        <w:adjustRightInd/>
        <w:snapToGrid/>
        <w:spacing w:line="600" w:lineRule="exact"/>
        <w:ind w:firstLine="664" w:firstLineChars="200"/>
        <w:jc w:val="both"/>
        <w:rPr>
          <w:rFonts w:hint="eastAsia" w:ascii="仿宋" w:hAnsi="仿宋" w:eastAsia="仿宋" w:cs="仿宋"/>
          <w:snapToGrid w:val="0"/>
          <w:color w:val="000000"/>
          <w:spacing w:val="11"/>
          <w:kern w:val="0"/>
          <w:sz w:val="31"/>
          <w:szCs w:val="31"/>
          <w:lang w:val="en-US" w:eastAsia="zh-CN" w:bidi="ar-SA"/>
        </w:rPr>
      </w:pPr>
      <w:r>
        <w:rPr>
          <w:rFonts w:hint="eastAsia" w:ascii="仿宋" w:hAnsi="仿宋" w:eastAsia="仿宋" w:cs="仿宋"/>
          <w:snapToGrid w:val="0"/>
          <w:color w:val="000000"/>
          <w:spacing w:val="11"/>
          <w:kern w:val="0"/>
          <w:sz w:val="31"/>
          <w:szCs w:val="31"/>
          <w:lang w:val="en-US" w:eastAsia="zh-CN" w:bidi="ar-SA"/>
        </w:rPr>
        <w:t>1、强化风险管控，切实维护</w:t>
      </w:r>
      <w:r>
        <w:rPr>
          <w:rFonts w:hint="default" w:ascii="仿宋" w:hAnsi="仿宋" w:eastAsia="仿宋" w:cs="仿宋"/>
          <w:snapToGrid w:val="0"/>
          <w:color w:val="000000"/>
          <w:spacing w:val="11"/>
          <w:kern w:val="0"/>
          <w:sz w:val="31"/>
          <w:szCs w:val="31"/>
          <w:lang w:val="en-US" w:eastAsia="zh-CN" w:bidi="ar-SA"/>
        </w:rPr>
        <w:t>意识形态安全。严格落实意识形态工作责任制，党组会专题研究部署意识形态工作2次，局务会研究部署宣传思想和意识形态工作10余次，定期分析研判意识形态、网络舆情等风险，针对</w:t>
      </w:r>
      <w:r>
        <w:rPr>
          <w:rFonts w:hint="eastAsia" w:ascii="仿宋" w:hAnsi="仿宋" w:eastAsia="仿宋" w:cs="仿宋"/>
          <w:snapToGrid w:val="0"/>
          <w:color w:val="000000"/>
          <w:spacing w:val="11"/>
          <w:kern w:val="0"/>
          <w:sz w:val="31"/>
          <w:szCs w:val="31"/>
          <w:lang w:val="en-US" w:eastAsia="zh-CN" w:bidi="ar-SA"/>
        </w:rPr>
        <w:t>重点企业专门</w:t>
      </w:r>
      <w:r>
        <w:rPr>
          <w:rFonts w:hint="default" w:ascii="仿宋" w:hAnsi="仿宋" w:eastAsia="仿宋" w:cs="仿宋"/>
          <w:snapToGrid w:val="0"/>
          <w:color w:val="000000"/>
          <w:spacing w:val="11"/>
          <w:kern w:val="0"/>
          <w:sz w:val="31"/>
          <w:szCs w:val="31"/>
          <w:lang w:val="en-US" w:eastAsia="zh-CN" w:bidi="ar-SA"/>
        </w:rPr>
        <w:t>研究</w:t>
      </w:r>
      <w:r>
        <w:rPr>
          <w:rFonts w:hint="eastAsia" w:ascii="仿宋" w:hAnsi="仿宋" w:eastAsia="仿宋" w:cs="仿宋"/>
          <w:snapToGrid w:val="0"/>
          <w:color w:val="000000"/>
          <w:spacing w:val="11"/>
          <w:kern w:val="0"/>
          <w:sz w:val="31"/>
          <w:szCs w:val="31"/>
          <w:lang w:val="en-US" w:eastAsia="zh-CN" w:bidi="ar-SA"/>
        </w:rPr>
        <w:t>并</w:t>
      </w:r>
      <w:r>
        <w:rPr>
          <w:rFonts w:hint="default" w:ascii="仿宋" w:hAnsi="仿宋" w:eastAsia="仿宋" w:cs="仿宋"/>
          <w:snapToGrid w:val="0"/>
          <w:color w:val="000000"/>
          <w:spacing w:val="11"/>
          <w:kern w:val="0"/>
          <w:sz w:val="31"/>
          <w:szCs w:val="31"/>
          <w:lang w:val="en-US" w:eastAsia="zh-CN" w:bidi="ar-SA"/>
        </w:rPr>
        <w:t>制定</w:t>
      </w:r>
      <w:r>
        <w:rPr>
          <w:rFonts w:hint="eastAsia" w:ascii="仿宋" w:hAnsi="仿宋" w:eastAsia="仿宋" w:cs="仿宋"/>
          <w:snapToGrid w:val="0"/>
          <w:color w:val="000000"/>
          <w:spacing w:val="11"/>
          <w:kern w:val="0"/>
          <w:sz w:val="31"/>
          <w:szCs w:val="31"/>
          <w:lang w:val="en-US" w:eastAsia="zh-CN" w:bidi="ar-SA"/>
        </w:rPr>
        <w:t>实施</w:t>
      </w:r>
      <w:r>
        <w:rPr>
          <w:rFonts w:hint="default" w:ascii="仿宋" w:hAnsi="仿宋" w:eastAsia="仿宋" w:cs="仿宋"/>
          <w:snapToGrid w:val="0"/>
          <w:color w:val="000000"/>
          <w:spacing w:val="11"/>
          <w:kern w:val="0"/>
          <w:sz w:val="31"/>
          <w:szCs w:val="31"/>
          <w:lang w:val="en-US" w:eastAsia="zh-CN" w:bidi="ar-SA"/>
        </w:rPr>
        <w:t>工作举措，</w:t>
      </w:r>
      <w:r>
        <w:rPr>
          <w:rFonts w:hint="eastAsia" w:ascii="仿宋" w:hAnsi="仿宋" w:eastAsia="仿宋" w:cs="仿宋"/>
          <w:snapToGrid w:val="0"/>
          <w:color w:val="000000"/>
          <w:spacing w:val="11"/>
          <w:kern w:val="0"/>
          <w:sz w:val="31"/>
          <w:szCs w:val="31"/>
          <w:lang w:val="en-US" w:eastAsia="zh-CN" w:bidi="ar-SA"/>
        </w:rPr>
        <w:t>工作中锤炼</w:t>
      </w:r>
      <w:r>
        <w:rPr>
          <w:rFonts w:hint="default" w:ascii="仿宋" w:hAnsi="仿宋" w:eastAsia="仿宋" w:cs="仿宋"/>
          <w:snapToGrid w:val="0"/>
          <w:color w:val="000000"/>
          <w:spacing w:val="11"/>
          <w:kern w:val="0"/>
          <w:sz w:val="31"/>
          <w:szCs w:val="31"/>
          <w:lang w:val="en-US" w:eastAsia="zh-CN" w:bidi="ar-SA"/>
        </w:rPr>
        <w:t>提高</w:t>
      </w:r>
      <w:r>
        <w:rPr>
          <w:rFonts w:hint="eastAsia" w:ascii="仿宋" w:hAnsi="仿宋" w:eastAsia="仿宋" w:cs="仿宋"/>
          <w:snapToGrid w:val="0"/>
          <w:color w:val="000000"/>
          <w:spacing w:val="11"/>
          <w:kern w:val="0"/>
          <w:sz w:val="31"/>
          <w:szCs w:val="31"/>
          <w:lang w:val="en-US" w:eastAsia="zh-CN" w:bidi="ar-SA"/>
        </w:rPr>
        <w:t>机关</w:t>
      </w:r>
      <w:r>
        <w:rPr>
          <w:rFonts w:hint="default" w:ascii="仿宋" w:hAnsi="仿宋" w:eastAsia="仿宋" w:cs="仿宋"/>
          <w:snapToGrid w:val="0"/>
          <w:color w:val="000000"/>
          <w:spacing w:val="11"/>
          <w:kern w:val="0"/>
          <w:sz w:val="31"/>
          <w:szCs w:val="31"/>
          <w:lang w:val="en-US" w:eastAsia="zh-CN" w:bidi="ar-SA"/>
        </w:rPr>
        <w:t>干部言行甄别能力、舆情引导能力</w:t>
      </w:r>
      <w:r>
        <w:rPr>
          <w:rFonts w:hint="eastAsia" w:ascii="仿宋" w:hAnsi="仿宋" w:eastAsia="仿宋" w:cs="仿宋"/>
          <w:snapToGrid w:val="0"/>
          <w:color w:val="000000"/>
          <w:spacing w:val="11"/>
          <w:kern w:val="0"/>
          <w:sz w:val="31"/>
          <w:szCs w:val="31"/>
          <w:lang w:val="en-US" w:eastAsia="zh-CN" w:bidi="ar-SA"/>
        </w:rPr>
        <w:t>和文明素质</w:t>
      </w:r>
      <w:r>
        <w:rPr>
          <w:rFonts w:hint="default" w:ascii="仿宋" w:hAnsi="仿宋" w:eastAsia="仿宋" w:cs="仿宋"/>
          <w:snapToGrid w:val="0"/>
          <w:color w:val="000000"/>
          <w:spacing w:val="11"/>
          <w:kern w:val="0"/>
          <w:sz w:val="31"/>
          <w:szCs w:val="31"/>
          <w:lang w:val="en-US" w:eastAsia="zh-CN" w:bidi="ar-SA"/>
        </w:rPr>
        <w:t>，</w:t>
      </w:r>
      <w:r>
        <w:rPr>
          <w:rFonts w:hint="eastAsia" w:ascii="仿宋" w:hAnsi="仿宋" w:eastAsia="仿宋" w:cs="仿宋"/>
          <w:snapToGrid w:val="0"/>
          <w:color w:val="000000"/>
          <w:spacing w:val="11"/>
          <w:kern w:val="0"/>
          <w:sz w:val="31"/>
          <w:szCs w:val="31"/>
          <w:lang w:val="en-US" w:eastAsia="zh-CN" w:bidi="ar-SA"/>
        </w:rPr>
        <w:t>确保</w:t>
      </w:r>
      <w:r>
        <w:rPr>
          <w:rFonts w:hint="default" w:ascii="仿宋" w:hAnsi="仿宋" w:eastAsia="仿宋" w:cs="仿宋"/>
          <w:snapToGrid w:val="0"/>
          <w:color w:val="000000"/>
          <w:spacing w:val="11"/>
          <w:kern w:val="0"/>
          <w:sz w:val="31"/>
          <w:szCs w:val="31"/>
          <w:lang w:val="en-US" w:eastAsia="zh-CN" w:bidi="ar-SA"/>
        </w:rPr>
        <w:t>意识形态工作</w:t>
      </w:r>
      <w:r>
        <w:rPr>
          <w:rFonts w:hint="eastAsia" w:ascii="仿宋" w:hAnsi="仿宋" w:eastAsia="仿宋" w:cs="仿宋"/>
          <w:snapToGrid w:val="0"/>
          <w:color w:val="000000"/>
          <w:spacing w:val="11"/>
          <w:kern w:val="0"/>
          <w:sz w:val="31"/>
          <w:szCs w:val="31"/>
          <w:lang w:val="en-US" w:eastAsia="zh-CN" w:bidi="ar-SA"/>
        </w:rPr>
        <w:t>风险总体</w:t>
      </w:r>
      <w:r>
        <w:rPr>
          <w:rFonts w:hint="default" w:ascii="仿宋" w:hAnsi="仿宋" w:eastAsia="仿宋" w:cs="仿宋"/>
          <w:snapToGrid w:val="0"/>
          <w:color w:val="000000"/>
          <w:spacing w:val="11"/>
          <w:kern w:val="0"/>
          <w:sz w:val="31"/>
          <w:szCs w:val="31"/>
          <w:lang w:val="en-US" w:eastAsia="zh-CN" w:bidi="ar-SA"/>
        </w:rPr>
        <w:t>可控。严格加强阵地管理，积极开展正面宣传引导，发布</w:t>
      </w:r>
      <w:r>
        <w:rPr>
          <w:rFonts w:hint="eastAsia" w:ascii="仿宋" w:hAnsi="仿宋" w:eastAsia="仿宋" w:cs="仿宋"/>
          <w:snapToGrid w:val="0"/>
          <w:color w:val="000000"/>
          <w:spacing w:val="11"/>
          <w:kern w:val="0"/>
          <w:sz w:val="31"/>
          <w:szCs w:val="31"/>
          <w:lang w:val="en-US" w:eastAsia="zh-CN" w:bidi="ar-SA"/>
        </w:rPr>
        <w:t>生态环保</w:t>
      </w:r>
      <w:r>
        <w:rPr>
          <w:rFonts w:hint="default" w:ascii="仿宋" w:hAnsi="仿宋" w:eastAsia="仿宋" w:cs="仿宋"/>
          <w:snapToGrid w:val="0"/>
          <w:color w:val="000000"/>
          <w:spacing w:val="11"/>
          <w:kern w:val="0"/>
          <w:sz w:val="31"/>
          <w:szCs w:val="31"/>
          <w:lang w:val="en-US" w:eastAsia="zh-CN" w:bidi="ar-SA"/>
        </w:rPr>
        <w:t>宣传新闻17</w:t>
      </w:r>
      <w:r>
        <w:rPr>
          <w:rFonts w:hint="eastAsia" w:ascii="仿宋" w:hAnsi="仿宋" w:eastAsia="仿宋" w:cs="仿宋"/>
          <w:snapToGrid w:val="0"/>
          <w:color w:val="000000"/>
          <w:spacing w:val="11"/>
          <w:kern w:val="0"/>
          <w:sz w:val="31"/>
          <w:szCs w:val="31"/>
          <w:lang w:val="en-US" w:eastAsia="zh-CN" w:bidi="ar-SA"/>
        </w:rPr>
        <w:t>5</w:t>
      </w:r>
      <w:r>
        <w:rPr>
          <w:rFonts w:hint="default" w:ascii="仿宋" w:hAnsi="仿宋" w:eastAsia="仿宋" w:cs="仿宋"/>
          <w:snapToGrid w:val="0"/>
          <w:color w:val="000000"/>
          <w:spacing w:val="11"/>
          <w:kern w:val="0"/>
          <w:sz w:val="31"/>
          <w:szCs w:val="31"/>
          <w:lang w:val="en-US" w:eastAsia="zh-CN" w:bidi="ar-SA"/>
        </w:rPr>
        <w:t>篇</w:t>
      </w:r>
      <w:r>
        <w:rPr>
          <w:rFonts w:hint="eastAsia" w:ascii="仿宋" w:hAnsi="仿宋" w:eastAsia="仿宋" w:cs="仿宋"/>
          <w:snapToGrid w:val="0"/>
          <w:color w:val="000000"/>
          <w:spacing w:val="11"/>
          <w:kern w:val="0"/>
          <w:sz w:val="31"/>
          <w:szCs w:val="31"/>
          <w:lang w:val="en-US" w:eastAsia="zh-CN" w:bidi="ar-SA"/>
        </w:rPr>
        <w:t>，</w:t>
      </w:r>
      <w:r>
        <w:rPr>
          <w:rFonts w:hint="default" w:ascii="仿宋" w:hAnsi="仿宋" w:eastAsia="仿宋" w:cs="仿宋"/>
          <w:snapToGrid w:val="0"/>
          <w:color w:val="000000"/>
          <w:spacing w:val="11"/>
          <w:kern w:val="0"/>
          <w:sz w:val="31"/>
          <w:szCs w:val="31"/>
          <w:lang w:val="en-US" w:eastAsia="zh-CN" w:bidi="ar-SA"/>
        </w:rPr>
        <w:t>举办雨花区六五环境日主题活动，</w:t>
      </w:r>
      <w:r>
        <w:rPr>
          <w:rFonts w:hint="eastAsia" w:ascii="仿宋" w:hAnsi="仿宋" w:eastAsia="仿宋" w:cs="仿宋"/>
          <w:snapToGrid w:val="0"/>
          <w:color w:val="000000"/>
          <w:spacing w:val="11"/>
          <w:kern w:val="0"/>
          <w:sz w:val="31"/>
          <w:szCs w:val="31"/>
          <w:lang w:val="en-US" w:eastAsia="zh-CN" w:bidi="ar-SA"/>
        </w:rPr>
        <w:t>承办</w:t>
      </w:r>
      <w:r>
        <w:rPr>
          <w:rFonts w:hint="default" w:ascii="仿宋" w:hAnsi="仿宋" w:eastAsia="仿宋" w:cs="仿宋"/>
          <w:snapToGrid w:val="0"/>
          <w:color w:val="000000"/>
          <w:spacing w:val="11"/>
          <w:kern w:val="0"/>
          <w:sz w:val="31"/>
          <w:szCs w:val="31"/>
          <w:lang w:val="en-US" w:eastAsia="zh-CN" w:bidi="ar-SA"/>
        </w:rPr>
        <w:t>“美丽中国我是行动者”绿色卫士下三湘主题志愿服务活动暨“美丽河湖‘音’你守护”徒步活动</w:t>
      </w:r>
      <w:r>
        <w:rPr>
          <w:rFonts w:hint="eastAsia" w:ascii="仿宋" w:hAnsi="仿宋" w:eastAsia="仿宋" w:cs="仿宋"/>
          <w:snapToGrid w:val="0"/>
          <w:color w:val="000000"/>
          <w:spacing w:val="11"/>
          <w:kern w:val="0"/>
          <w:sz w:val="31"/>
          <w:szCs w:val="31"/>
          <w:lang w:val="en-US" w:eastAsia="zh-CN" w:bidi="ar-SA"/>
        </w:rPr>
        <w:t>，</w:t>
      </w:r>
      <w:r>
        <w:rPr>
          <w:rFonts w:hint="eastAsia" w:ascii="仿宋" w:hAnsi="仿宋" w:eastAsia="仿宋" w:cs="仿宋"/>
          <w:snapToGrid w:val="0"/>
          <w:color w:val="000000"/>
          <w:spacing w:val="11"/>
          <w:kern w:val="0"/>
          <w:sz w:val="31"/>
          <w:szCs w:val="31"/>
          <w:lang w:val="en-US" w:eastAsia="en-US" w:bidi="ar-SA"/>
        </w:rPr>
        <w:t>牢固树立</w:t>
      </w:r>
      <w:r>
        <w:rPr>
          <w:rFonts w:hint="eastAsia" w:ascii="仿宋" w:hAnsi="仿宋" w:eastAsia="仿宋" w:cs="仿宋"/>
          <w:snapToGrid w:val="0"/>
          <w:color w:val="000000"/>
          <w:spacing w:val="11"/>
          <w:kern w:val="0"/>
          <w:sz w:val="31"/>
          <w:szCs w:val="31"/>
          <w:lang w:val="en-US" w:eastAsia="zh-CN" w:bidi="ar-SA"/>
        </w:rPr>
        <w:t>并传播“</w:t>
      </w:r>
      <w:r>
        <w:rPr>
          <w:rFonts w:hint="eastAsia" w:ascii="仿宋" w:hAnsi="仿宋" w:eastAsia="仿宋" w:cs="仿宋"/>
          <w:snapToGrid w:val="0"/>
          <w:color w:val="000000"/>
          <w:spacing w:val="11"/>
          <w:kern w:val="0"/>
          <w:sz w:val="31"/>
          <w:szCs w:val="31"/>
          <w:lang w:val="en-US" w:eastAsia="en-US" w:bidi="ar-SA"/>
        </w:rPr>
        <w:t>绿水青山就是金山银山</w:t>
      </w:r>
      <w:r>
        <w:rPr>
          <w:rFonts w:hint="eastAsia" w:ascii="仿宋" w:hAnsi="仿宋" w:eastAsia="仿宋" w:cs="仿宋"/>
          <w:snapToGrid w:val="0"/>
          <w:color w:val="000000"/>
          <w:spacing w:val="11"/>
          <w:kern w:val="0"/>
          <w:sz w:val="31"/>
          <w:szCs w:val="31"/>
          <w:lang w:val="en-US" w:eastAsia="zh-CN" w:bidi="ar-SA"/>
        </w:rPr>
        <w:t>”</w:t>
      </w:r>
      <w:r>
        <w:rPr>
          <w:rFonts w:hint="eastAsia" w:ascii="仿宋" w:hAnsi="仿宋" w:eastAsia="仿宋" w:cs="仿宋"/>
          <w:snapToGrid w:val="0"/>
          <w:color w:val="000000"/>
          <w:spacing w:val="11"/>
          <w:kern w:val="0"/>
          <w:sz w:val="31"/>
          <w:szCs w:val="31"/>
          <w:lang w:val="en-US" w:eastAsia="en-US" w:bidi="ar-SA"/>
        </w:rPr>
        <w:t>的理念</w:t>
      </w:r>
      <w:r>
        <w:rPr>
          <w:rFonts w:hint="eastAsia" w:ascii="仿宋" w:hAnsi="仿宋" w:eastAsia="仿宋" w:cs="仿宋"/>
          <w:snapToGrid w:val="0"/>
          <w:color w:val="000000"/>
          <w:spacing w:val="11"/>
          <w:kern w:val="0"/>
          <w:sz w:val="31"/>
          <w:szCs w:val="31"/>
          <w:lang w:val="en-US" w:eastAsia="zh-CN" w:bidi="ar-SA"/>
        </w:rPr>
        <w:t>。</w:t>
      </w:r>
    </w:p>
    <w:p w14:paraId="2152AE02">
      <w:pPr>
        <w:pStyle w:val="3"/>
        <w:keepNext w:val="0"/>
        <w:keepLines w:val="0"/>
        <w:pageBreakBefore w:val="0"/>
        <w:widowControl w:val="0"/>
        <w:kinsoku/>
        <w:wordWrap/>
        <w:overflowPunct/>
        <w:topLinePunct w:val="0"/>
        <w:autoSpaceDE/>
        <w:autoSpaceDN/>
        <w:bidi w:val="0"/>
        <w:adjustRightInd/>
        <w:snapToGrid/>
        <w:spacing w:line="600" w:lineRule="exact"/>
        <w:ind w:firstLine="664" w:firstLineChars="200"/>
        <w:jc w:val="both"/>
        <w:rPr>
          <w:rFonts w:hint="default" w:ascii="仿宋" w:hAnsi="仿宋" w:eastAsia="仿宋" w:cs="仿宋"/>
          <w:snapToGrid w:val="0"/>
          <w:color w:val="000000"/>
          <w:spacing w:val="11"/>
          <w:kern w:val="0"/>
          <w:sz w:val="31"/>
          <w:szCs w:val="31"/>
          <w:lang w:val="en-US" w:eastAsia="en-US" w:bidi="ar-SA"/>
        </w:rPr>
      </w:pPr>
      <w:r>
        <w:rPr>
          <w:rFonts w:hint="eastAsia" w:ascii="仿宋" w:hAnsi="仿宋" w:eastAsia="仿宋" w:cs="仿宋"/>
          <w:snapToGrid w:val="0"/>
          <w:color w:val="000000"/>
          <w:spacing w:val="11"/>
          <w:kern w:val="0"/>
          <w:sz w:val="31"/>
          <w:szCs w:val="31"/>
          <w:lang w:val="en-US" w:eastAsia="zh-CN" w:bidi="ar-SA"/>
        </w:rPr>
        <w:t>2、持续正风肃纪，推进全面从严治党。</w:t>
      </w:r>
      <w:r>
        <w:rPr>
          <w:rFonts w:hint="default" w:ascii="仿宋" w:hAnsi="仿宋" w:eastAsia="仿宋" w:cs="仿宋"/>
          <w:snapToGrid w:val="0"/>
          <w:color w:val="000000"/>
          <w:spacing w:val="11"/>
          <w:kern w:val="0"/>
          <w:sz w:val="31"/>
          <w:szCs w:val="31"/>
          <w:lang w:val="en-US" w:eastAsia="zh-CN" w:bidi="ar-SA"/>
        </w:rPr>
        <w:t>严格</w:t>
      </w:r>
      <w:r>
        <w:rPr>
          <w:rFonts w:hint="default" w:ascii="仿宋" w:hAnsi="仿宋" w:eastAsia="仿宋" w:cs="仿宋"/>
          <w:snapToGrid w:val="0"/>
          <w:color w:val="000000"/>
          <w:spacing w:val="11"/>
          <w:kern w:val="0"/>
          <w:sz w:val="31"/>
          <w:szCs w:val="31"/>
          <w:lang w:val="en-US" w:eastAsia="en-US" w:bidi="ar-SA"/>
        </w:rPr>
        <w:t>履行“一岗双责”，深入开展“两带头五整治”纠风防腐专项行动，</w:t>
      </w:r>
      <w:r>
        <w:rPr>
          <w:rFonts w:hint="default" w:ascii="仿宋" w:hAnsi="仿宋" w:eastAsia="仿宋" w:cs="仿宋"/>
          <w:snapToGrid w:val="0"/>
          <w:color w:val="000000"/>
          <w:spacing w:val="11"/>
          <w:kern w:val="0"/>
          <w:sz w:val="31"/>
          <w:szCs w:val="31"/>
          <w:lang w:val="en-US" w:eastAsia="zh-CN" w:bidi="ar-SA"/>
        </w:rPr>
        <w:t>对照开展“阳光政务专项监督工作”、“筑牢思想防线杜绝酒驾醉驾专项警示教育”、“为民办实事解难题”纠治打着环保幌子搞“一刀切”问题、节假日“四风”检查等系列工作，未</w:t>
      </w:r>
      <w:r>
        <w:rPr>
          <w:rFonts w:hint="eastAsia" w:ascii="仿宋" w:hAnsi="仿宋" w:eastAsia="仿宋" w:cs="仿宋"/>
          <w:snapToGrid w:val="0"/>
          <w:color w:val="000000"/>
          <w:spacing w:val="11"/>
          <w:kern w:val="0"/>
          <w:sz w:val="31"/>
          <w:szCs w:val="31"/>
          <w:lang w:val="en-US" w:eastAsia="zh-CN" w:bidi="ar-SA"/>
        </w:rPr>
        <w:t>发生</w:t>
      </w:r>
      <w:r>
        <w:rPr>
          <w:rFonts w:hint="default" w:ascii="仿宋" w:hAnsi="仿宋" w:eastAsia="仿宋" w:cs="仿宋"/>
          <w:snapToGrid w:val="0"/>
          <w:color w:val="000000"/>
          <w:spacing w:val="11"/>
          <w:kern w:val="0"/>
          <w:sz w:val="31"/>
          <w:szCs w:val="31"/>
          <w:lang w:val="en-US" w:eastAsia="zh-CN" w:bidi="ar-SA"/>
        </w:rPr>
        <w:t>违反中央八项规定及其实施细则精神相关情况。召开党组会议研究党风廉政及清廉环保建设工作，制定《中共长沙市生态环境局雨花分局落实全面从严治党主体责任清单》，落实落细主体责任，切实履行“一岗双责”；</w:t>
      </w:r>
      <w:r>
        <w:rPr>
          <w:rFonts w:hint="default" w:ascii="仿宋" w:hAnsi="仿宋" w:eastAsia="仿宋" w:cs="仿宋"/>
          <w:snapToGrid w:val="0"/>
          <w:color w:val="000000"/>
          <w:spacing w:val="11"/>
          <w:kern w:val="0"/>
          <w:sz w:val="31"/>
          <w:szCs w:val="31"/>
          <w:lang w:val="en-US" w:eastAsia="en-US" w:bidi="ar-SA"/>
        </w:rPr>
        <w:t>坚持民主集中制，对“三重一大”事项</w:t>
      </w:r>
      <w:r>
        <w:rPr>
          <w:rFonts w:hint="default" w:ascii="仿宋" w:hAnsi="仿宋" w:eastAsia="仿宋" w:cs="仿宋"/>
          <w:snapToGrid w:val="0"/>
          <w:color w:val="000000"/>
          <w:spacing w:val="11"/>
          <w:kern w:val="0"/>
          <w:sz w:val="31"/>
          <w:szCs w:val="31"/>
          <w:lang w:val="en-US" w:eastAsia="zh-CN" w:bidi="ar-SA"/>
        </w:rPr>
        <w:t>要求</w:t>
      </w:r>
      <w:r>
        <w:rPr>
          <w:rFonts w:hint="default" w:ascii="仿宋" w:hAnsi="仿宋" w:eastAsia="仿宋" w:cs="仿宋"/>
          <w:snapToGrid w:val="0"/>
          <w:color w:val="000000"/>
          <w:spacing w:val="11"/>
          <w:kern w:val="0"/>
          <w:sz w:val="31"/>
          <w:szCs w:val="31"/>
          <w:lang w:val="en-US" w:eastAsia="en-US" w:bidi="ar-SA"/>
        </w:rPr>
        <w:t>提交党组会议讨论决定</w:t>
      </w:r>
      <w:r>
        <w:rPr>
          <w:rFonts w:hint="default" w:ascii="仿宋" w:hAnsi="仿宋" w:eastAsia="仿宋" w:cs="仿宋"/>
          <w:snapToGrid w:val="0"/>
          <w:color w:val="000000"/>
          <w:spacing w:val="11"/>
          <w:kern w:val="0"/>
          <w:sz w:val="31"/>
          <w:szCs w:val="31"/>
          <w:lang w:val="en-US" w:eastAsia="zh-CN" w:bidi="ar-SA"/>
        </w:rPr>
        <w:t>，</w:t>
      </w:r>
      <w:r>
        <w:rPr>
          <w:rFonts w:hint="default" w:ascii="仿宋" w:hAnsi="仿宋" w:eastAsia="仿宋" w:cs="仿宋"/>
          <w:snapToGrid w:val="0"/>
          <w:color w:val="000000"/>
          <w:spacing w:val="11"/>
          <w:kern w:val="0"/>
          <w:sz w:val="31"/>
          <w:szCs w:val="31"/>
          <w:lang w:val="en-US" w:eastAsia="en-US" w:bidi="ar-SA"/>
        </w:rPr>
        <w:t>认真落实“一案一通报”制度</w:t>
      </w:r>
      <w:r>
        <w:rPr>
          <w:rFonts w:hint="default" w:ascii="仿宋" w:hAnsi="仿宋" w:eastAsia="仿宋" w:cs="仿宋"/>
          <w:snapToGrid w:val="0"/>
          <w:color w:val="000000"/>
          <w:spacing w:val="11"/>
          <w:kern w:val="0"/>
          <w:sz w:val="31"/>
          <w:szCs w:val="31"/>
          <w:lang w:val="en-US" w:eastAsia="zh-CN" w:bidi="ar-SA"/>
        </w:rPr>
        <w:t>和</w:t>
      </w:r>
      <w:r>
        <w:rPr>
          <w:rFonts w:hint="default" w:ascii="仿宋" w:hAnsi="仿宋" w:eastAsia="仿宋" w:cs="仿宋"/>
          <w:snapToGrid w:val="0"/>
          <w:color w:val="000000"/>
          <w:spacing w:val="11"/>
          <w:kern w:val="0"/>
          <w:sz w:val="31"/>
          <w:szCs w:val="31"/>
          <w:lang w:val="en-US" w:eastAsia="en-US" w:bidi="ar-SA"/>
        </w:rPr>
        <w:t>学习上级公布的违纪违法典型案例，紧盯财务、审批、项目管理等重点领域、重要岗位、关键环节，邀请特约监督员开展监督，持续推动党风廉政建设走深走实。</w:t>
      </w:r>
    </w:p>
    <w:p w14:paraId="757311D2">
      <w:pPr>
        <w:pStyle w:val="3"/>
        <w:keepNext w:val="0"/>
        <w:keepLines w:val="0"/>
        <w:pageBreakBefore w:val="0"/>
        <w:widowControl w:val="0"/>
        <w:kinsoku/>
        <w:wordWrap/>
        <w:overflowPunct/>
        <w:topLinePunct w:val="0"/>
        <w:autoSpaceDE/>
        <w:autoSpaceDN/>
        <w:bidi w:val="0"/>
        <w:adjustRightInd/>
        <w:snapToGrid/>
        <w:spacing w:line="600" w:lineRule="exact"/>
        <w:ind w:firstLine="664" w:firstLineChars="200"/>
        <w:jc w:val="both"/>
        <w:rPr>
          <w:rFonts w:hint="eastAsia" w:ascii="仿宋" w:hAnsi="仿宋" w:eastAsia="仿宋" w:cs="仿宋"/>
          <w:snapToGrid w:val="0"/>
          <w:color w:val="000000"/>
          <w:spacing w:val="11"/>
          <w:kern w:val="0"/>
          <w:sz w:val="31"/>
          <w:szCs w:val="31"/>
          <w:lang w:val="en-US" w:eastAsia="zh-CN" w:bidi="ar-SA"/>
        </w:rPr>
      </w:pPr>
      <w:r>
        <w:rPr>
          <w:rFonts w:hint="eastAsia" w:ascii="仿宋" w:hAnsi="仿宋" w:eastAsia="仿宋" w:cs="仿宋"/>
          <w:snapToGrid w:val="0"/>
          <w:color w:val="000000"/>
          <w:spacing w:val="11"/>
          <w:kern w:val="0"/>
          <w:sz w:val="31"/>
          <w:szCs w:val="31"/>
          <w:lang w:val="en-US" w:eastAsia="zh-CN" w:bidi="ar-SA"/>
        </w:rPr>
        <w:t>3、持续推进生态文明建设。环境</w:t>
      </w:r>
      <w:r>
        <w:rPr>
          <w:rFonts w:hint="default" w:ascii="仿宋" w:hAnsi="仿宋" w:eastAsia="仿宋" w:cs="仿宋"/>
          <w:snapToGrid w:val="0"/>
          <w:color w:val="000000"/>
          <w:spacing w:val="11"/>
          <w:kern w:val="0"/>
          <w:sz w:val="31"/>
          <w:szCs w:val="31"/>
          <w:lang w:val="en-US" w:eastAsia="zh-CN" w:bidi="ar-SA"/>
        </w:rPr>
        <w:t>质量方面，</w:t>
      </w:r>
      <w:r>
        <w:rPr>
          <w:rFonts w:hint="eastAsia" w:ascii="仿宋" w:hAnsi="仿宋" w:eastAsia="仿宋" w:cs="仿宋"/>
          <w:snapToGrid w:val="0"/>
          <w:color w:val="000000"/>
          <w:spacing w:val="11"/>
          <w:kern w:val="0"/>
          <w:sz w:val="31"/>
          <w:szCs w:val="31"/>
          <w:lang w:val="en-US" w:eastAsia="zh-CN" w:bidi="ar-SA"/>
        </w:rPr>
        <w:t>2024年度</w:t>
      </w:r>
      <w:r>
        <w:rPr>
          <w:rFonts w:hint="default" w:ascii="仿宋" w:hAnsi="仿宋" w:eastAsia="仿宋" w:cs="仿宋"/>
          <w:snapToGrid w:val="0"/>
          <w:color w:val="000000"/>
          <w:spacing w:val="11"/>
          <w:kern w:val="0"/>
          <w:sz w:val="31"/>
          <w:szCs w:val="31"/>
          <w:lang w:val="en-US" w:eastAsia="zh-CN" w:bidi="ar-SA"/>
        </w:rPr>
        <w:t>空气质量优良天数305天</w:t>
      </w:r>
      <w:r>
        <w:rPr>
          <w:rFonts w:hint="eastAsia" w:ascii="仿宋" w:hAnsi="仿宋" w:eastAsia="仿宋" w:cs="仿宋"/>
          <w:snapToGrid w:val="0"/>
          <w:color w:val="000000"/>
          <w:spacing w:val="11"/>
          <w:kern w:val="0"/>
          <w:sz w:val="31"/>
          <w:szCs w:val="31"/>
          <w:lang w:val="en-US" w:eastAsia="zh-CN" w:bidi="ar-SA"/>
        </w:rPr>
        <w:t>、</w:t>
      </w:r>
      <w:r>
        <w:rPr>
          <w:rFonts w:hint="default" w:ascii="仿宋" w:hAnsi="仿宋" w:eastAsia="仿宋" w:cs="仿宋"/>
          <w:snapToGrid w:val="0"/>
          <w:color w:val="000000"/>
          <w:spacing w:val="11"/>
          <w:kern w:val="0"/>
          <w:sz w:val="31"/>
          <w:szCs w:val="31"/>
          <w:lang w:val="en-US" w:eastAsia="zh-CN" w:bidi="ar-SA"/>
        </w:rPr>
        <w:t>优良率83.3%，PM2.5均值浓度为38.4微克/立方米，综合指数为3.64，重污染天数1天</w:t>
      </w:r>
      <w:r>
        <w:rPr>
          <w:rFonts w:hint="eastAsia" w:ascii="仿宋" w:hAnsi="仿宋" w:eastAsia="仿宋" w:cs="仿宋"/>
          <w:snapToGrid w:val="0"/>
          <w:color w:val="000000"/>
          <w:spacing w:val="11"/>
          <w:kern w:val="0"/>
          <w:sz w:val="31"/>
          <w:szCs w:val="31"/>
          <w:lang w:val="en-US" w:eastAsia="zh-CN" w:bidi="ar-SA"/>
        </w:rPr>
        <w:t>、</w:t>
      </w:r>
      <w:r>
        <w:rPr>
          <w:rFonts w:hint="default" w:ascii="仿宋" w:hAnsi="仿宋" w:eastAsia="仿宋" w:cs="仿宋"/>
          <w:snapToGrid w:val="0"/>
          <w:color w:val="000000"/>
          <w:spacing w:val="11"/>
          <w:kern w:val="0"/>
          <w:sz w:val="31"/>
          <w:szCs w:val="31"/>
          <w:lang w:val="en-US" w:eastAsia="zh-CN" w:bidi="ar-SA"/>
        </w:rPr>
        <w:t>全市最少，</w:t>
      </w:r>
      <w:r>
        <w:rPr>
          <w:rFonts w:hint="eastAsia" w:ascii="仿宋" w:hAnsi="仿宋" w:eastAsia="仿宋" w:cs="仿宋"/>
          <w:snapToGrid w:val="0"/>
          <w:color w:val="000000"/>
          <w:spacing w:val="11"/>
          <w:kern w:val="0"/>
          <w:sz w:val="31"/>
          <w:szCs w:val="31"/>
          <w:lang w:val="en-US" w:eastAsia="zh-CN" w:bidi="ar-SA"/>
        </w:rPr>
        <w:t>主要指标全市排名相对靠前；</w:t>
      </w:r>
      <w:r>
        <w:rPr>
          <w:rFonts w:hint="eastAsia" w:ascii="仿宋" w:hAnsi="仿宋" w:eastAsia="仿宋" w:cs="仿宋"/>
          <w:snapToGrid w:val="0"/>
          <w:color w:val="000000"/>
          <w:spacing w:val="11"/>
          <w:kern w:val="0"/>
          <w:sz w:val="31"/>
          <w:szCs w:val="31"/>
          <w:lang w:val="en-US" w:eastAsia="en-US" w:bidi="ar-SA"/>
        </w:rPr>
        <w:t>1-</w:t>
      </w:r>
      <w:r>
        <w:rPr>
          <w:rFonts w:hint="eastAsia" w:ascii="仿宋" w:hAnsi="仿宋" w:eastAsia="仿宋" w:cs="仿宋"/>
          <w:snapToGrid w:val="0"/>
          <w:color w:val="000000"/>
          <w:spacing w:val="11"/>
          <w:kern w:val="0"/>
          <w:sz w:val="31"/>
          <w:szCs w:val="31"/>
          <w:lang w:val="en-US" w:eastAsia="zh-CN" w:bidi="ar-SA"/>
        </w:rPr>
        <w:t>12</w:t>
      </w:r>
      <w:r>
        <w:rPr>
          <w:rFonts w:hint="eastAsia" w:ascii="仿宋" w:hAnsi="仿宋" w:eastAsia="仿宋" w:cs="仿宋"/>
          <w:snapToGrid w:val="0"/>
          <w:color w:val="000000"/>
          <w:spacing w:val="11"/>
          <w:kern w:val="0"/>
          <w:sz w:val="31"/>
          <w:szCs w:val="31"/>
          <w:lang w:val="en-US" w:eastAsia="en-US" w:bidi="ar-SA"/>
        </w:rPr>
        <w:t>月省控榔梨断面水质达到Ⅲ类</w:t>
      </w:r>
      <w:r>
        <w:rPr>
          <w:rFonts w:hint="eastAsia" w:ascii="仿宋" w:hAnsi="仿宋" w:eastAsia="仿宋" w:cs="仿宋"/>
          <w:snapToGrid w:val="0"/>
          <w:color w:val="000000"/>
          <w:spacing w:val="11"/>
          <w:kern w:val="0"/>
          <w:sz w:val="31"/>
          <w:szCs w:val="31"/>
          <w:lang w:val="en-US" w:eastAsia="zh-CN" w:bidi="ar-SA"/>
        </w:rPr>
        <w:t>以上</w:t>
      </w:r>
      <w:r>
        <w:rPr>
          <w:rFonts w:hint="eastAsia" w:ascii="仿宋" w:hAnsi="仿宋" w:eastAsia="仿宋" w:cs="仿宋"/>
          <w:snapToGrid w:val="0"/>
          <w:color w:val="000000"/>
          <w:spacing w:val="11"/>
          <w:kern w:val="0"/>
          <w:sz w:val="31"/>
          <w:szCs w:val="31"/>
          <w:lang w:val="en-US" w:eastAsia="en-US" w:bidi="ar-SA"/>
        </w:rPr>
        <w:t>，市控断面婚庆公园、圭塘河口季均值达Ⅲ类，达标率100%</w:t>
      </w:r>
      <w:r>
        <w:rPr>
          <w:rFonts w:hint="eastAsia" w:ascii="仿宋" w:hAnsi="仿宋" w:eastAsia="仿宋" w:cs="仿宋"/>
          <w:snapToGrid w:val="0"/>
          <w:color w:val="000000"/>
          <w:spacing w:val="11"/>
          <w:kern w:val="0"/>
          <w:sz w:val="31"/>
          <w:szCs w:val="31"/>
          <w:lang w:val="en-US" w:eastAsia="zh-CN" w:bidi="ar-SA"/>
        </w:rPr>
        <w:t>；加强用地安全利用监管，保障重点建设用地安全利用率100%，保障受污染耕地安全利用率达92%以上。</w:t>
      </w:r>
      <w:r>
        <w:rPr>
          <w:rFonts w:hint="eastAsia" w:ascii="仿宋" w:hAnsi="仿宋" w:eastAsia="仿宋" w:cs="仿宋"/>
          <w:snapToGrid w:val="0"/>
          <w:color w:val="000000"/>
          <w:spacing w:val="11"/>
          <w:kern w:val="0"/>
          <w:sz w:val="31"/>
          <w:szCs w:val="31"/>
          <w:lang w:val="en-US" w:eastAsia="en-US" w:bidi="ar-SA"/>
        </w:rPr>
        <w:t>项目任务方面，</w:t>
      </w:r>
      <w:r>
        <w:rPr>
          <w:rFonts w:hint="default" w:ascii="仿宋" w:hAnsi="仿宋" w:eastAsia="仿宋" w:cs="仿宋"/>
          <w:snapToGrid w:val="0"/>
          <w:color w:val="000000"/>
          <w:spacing w:val="11"/>
          <w:kern w:val="0"/>
          <w:sz w:val="31"/>
          <w:szCs w:val="31"/>
          <w:lang w:val="en-US" w:eastAsia="zh-CN" w:bidi="ar-SA"/>
        </w:rPr>
        <w:t>制定印发区级污染防治行动计划，铺排完成22个项目、2个“夏季攻势”任务项目。</w:t>
      </w:r>
      <w:r>
        <w:rPr>
          <w:rFonts w:hint="eastAsia" w:ascii="仿宋" w:hAnsi="仿宋" w:eastAsia="仿宋" w:cs="仿宋"/>
          <w:snapToGrid w:val="0"/>
          <w:color w:val="000000"/>
          <w:spacing w:val="11"/>
          <w:kern w:val="0"/>
          <w:sz w:val="31"/>
          <w:szCs w:val="31"/>
          <w:lang w:val="en-US" w:eastAsia="en-US" w:bidi="ar-SA"/>
        </w:rPr>
        <w:t>蓝天保卫战方面，全面完成11个空气标准化街镇站、1个比对站、安装1</w:t>
      </w:r>
      <w:r>
        <w:rPr>
          <w:rFonts w:hint="eastAsia" w:ascii="仿宋" w:hAnsi="仿宋" w:eastAsia="仿宋" w:cs="仿宋"/>
          <w:snapToGrid w:val="0"/>
          <w:color w:val="000000"/>
          <w:spacing w:val="11"/>
          <w:kern w:val="0"/>
          <w:sz w:val="31"/>
          <w:szCs w:val="31"/>
          <w:lang w:val="en-US" w:eastAsia="zh-CN" w:bidi="ar-SA"/>
        </w:rPr>
        <w:t>2</w:t>
      </w:r>
      <w:r>
        <w:rPr>
          <w:rFonts w:hint="eastAsia" w:ascii="仿宋" w:hAnsi="仿宋" w:eastAsia="仿宋" w:cs="仿宋"/>
          <w:snapToGrid w:val="0"/>
          <w:color w:val="000000"/>
          <w:spacing w:val="11"/>
          <w:kern w:val="0"/>
          <w:sz w:val="31"/>
          <w:szCs w:val="31"/>
          <w:lang w:val="en-US" w:eastAsia="en-US" w:bidi="ar-SA"/>
        </w:rPr>
        <w:t>0个涉VOCS排放企业电力监控点位、1</w:t>
      </w:r>
      <w:r>
        <w:rPr>
          <w:rFonts w:hint="eastAsia" w:ascii="仿宋" w:hAnsi="仿宋" w:eastAsia="仿宋" w:cs="仿宋"/>
          <w:snapToGrid w:val="0"/>
          <w:color w:val="000000"/>
          <w:spacing w:val="11"/>
          <w:kern w:val="0"/>
          <w:sz w:val="31"/>
          <w:szCs w:val="31"/>
          <w:lang w:val="en-US" w:eastAsia="zh-CN" w:bidi="ar-SA"/>
        </w:rPr>
        <w:t>2</w:t>
      </w:r>
      <w:r>
        <w:rPr>
          <w:rFonts w:hint="eastAsia" w:ascii="仿宋" w:hAnsi="仿宋" w:eastAsia="仿宋" w:cs="仿宋"/>
          <w:snapToGrid w:val="0"/>
          <w:color w:val="000000"/>
          <w:spacing w:val="11"/>
          <w:kern w:val="0"/>
          <w:sz w:val="31"/>
          <w:szCs w:val="31"/>
          <w:lang w:val="en-US" w:eastAsia="en-US" w:bidi="ar-SA"/>
        </w:rPr>
        <w:t>家企业环保智能门禁系统</w:t>
      </w:r>
      <w:r>
        <w:rPr>
          <w:rFonts w:hint="eastAsia" w:ascii="仿宋" w:hAnsi="仿宋" w:eastAsia="仿宋" w:cs="仿宋"/>
          <w:snapToGrid w:val="0"/>
          <w:color w:val="000000"/>
          <w:spacing w:val="11"/>
          <w:kern w:val="0"/>
          <w:sz w:val="31"/>
          <w:szCs w:val="31"/>
          <w:lang w:val="en-US" w:eastAsia="zh-CN" w:bidi="ar-SA"/>
        </w:rPr>
        <w:t>；编制了</w:t>
      </w:r>
      <w:r>
        <w:rPr>
          <w:rFonts w:hint="eastAsia" w:ascii="仿宋" w:hAnsi="仿宋" w:eastAsia="仿宋" w:cs="仿宋"/>
          <w:snapToGrid w:val="0"/>
          <w:color w:val="000000"/>
          <w:spacing w:val="11"/>
          <w:kern w:val="0"/>
          <w:sz w:val="31"/>
          <w:szCs w:val="31"/>
          <w:lang w:val="en-US" w:eastAsia="en-US" w:bidi="ar-SA"/>
        </w:rPr>
        <w:t>重污染天气应急预案</w:t>
      </w:r>
      <w:r>
        <w:rPr>
          <w:rFonts w:hint="eastAsia" w:ascii="仿宋" w:hAnsi="仿宋" w:eastAsia="仿宋" w:cs="仿宋"/>
          <w:snapToGrid w:val="0"/>
          <w:color w:val="000000"/>
          <w:spacing w:val="11"/>
          <w:kern w:val="0"/>
          <w:sz w:val="31"/>
          <w:szCs w:val="31"/>
          <w:lang w:val="en-US" w:eastAsia="zh-CN" w:bidi="ar-SA"/>
        </w:rPr>
        <w:t>、应急减排清单，完成了140</w:t>
      </w:r>
      <w:r>
        <w:rPr>
          <w:rFonts w:hint="default" w:ascii="仿宋" w:hAnsi="仿宋" w:eastAsia="仿宋" w:cs="仿宋"/>
          <w:snapToGrid w:val="0"/>
          <w:color w:val="000000"/>
          <w:spacing w:val="11"/>
          <w:kern w:val="0"/>
          <w:sz w:val="31"/>
          <w:szCs w:val="31"/>
          <w:lang w:val="en-US" w:eastAsia="zh-CN" w:bidi="ar-SA"/>
        </w:rPr>
        <w:t>家</w:t>
      </w:r>
      <w:r>
        <w:rPr>
          <w:rFonts w:hint="eastAsia" w:ascii="仿宋" w:hAnsi="仿宋" w:eastAsia="仿宋" w:cs="仿宋"/>
          <w:snapToGrid w:val="0"/>
          <w:color w:val="000000"/>
          <w:spacing w:val="11"/>
          <w:kern w:val="0"/>
          <w:sz w:val="31"/>
          <w:szCs w:val="31"/>
          <w:lang w:val="en-US" w:eastAsia="zh-CN" w:bidi="ar-SA"/>
        </w:rPr>
        <w:t>涉气企业现场核查，</w:t>
      </w:r>
      <w:r>
        <w:rPr>
          <w:rFonts w:hint="eastAsia" w:ascii="仿宋" w:hAnsi="仿宋" w:eastAsia="仿宋" w:cs="仿宋"/>
          <w:snapToGrid w:val="0"/>
          <w:color w:val="000000"/>
          <w:spacing w:val="11"/>
          <w:kern w:val="0"/>
          <w:sz w:val="31"/>
          <w:szCs w:val="31"/>
          <w:lang w:val="en-US" w:eastAsia="en-US" w:bidi="ar-SA"/>
        </w:rPr>
        <w:t>新增2家重污染天气绩效提级企业，完成7家企业绩效提级复核工作；完成</w:t>
      </w:r>
      <w:r>
        <w:rPr>
          <w:rFonts w:hint="eastAsia" w:ascii="仿宋" w:hAnsi="仿宋" w:eastAsia="仿宋" w:cs="仿宋"/>
          <w:snapToGrid w:val="0"/>
          <w:color w:val="000000"/>
          <w:spacing w:val="11"/>
          <w:kern w:val="0"/>
          <w:sz w:val="31"/>
          <w:szCs w:val="31"/>
          <w:lang w:val="en-US" w:eastAsia="zh-CN" w:bidi="ar-SA"/>
        </w:rPr>
        <w:t>36</w:t>
      </w:r>
      <w:r>
        <w:rPr>
          <w:rFonts w:hint="eastAsia" w:ascii="仿宋" w:hAnsi="仿宋" w:eastAsia="仿宋" w:cs="仿宋"/>
          <w:snapToGrid w:val="0"/>
          <w:color w:val="000000"/>
          <w:spacing w:val="11"/>
          <w:kern w:val="0"/>
          <w:sz w:val="31"/>
          <w:szCs w:val="31"/>
          <w:lang w:val="en-US" w:eastAsia="en-US" w:bidi="ar-SA"/>
        </w:rPr>
        <w:t>家涉气企业监督帮扶及执法检查的自查、核查及整改工作；开展蓝天保卫巡查</w:t>
      </w:r>
      <w:r>
        <w:rPr>
          <w:rFonts w:hint="eastAsia" w:ascii="仿宋" w:hAnsi="仿宋" w:eastAsia="仿宋" w:cs="仿宋"/>
          <w:snapToGrid w:val="0"/>
          <w:color w:val="000000"/>
          <w:spacing w:val="11"/>
          <w:kern w:val="0"/>
          <w:sz w:val="31"/>
          <w:szCs w:val="31"/>
          <w:lang w:val="en-US" w:eastAsia="zh-CN" w:bidi="ar-SA"/>
        </w:rPr>
        <w:t>67</w:t>
      </w:r>
      <w:r>
        <w:rPr>
          <w:rFonts w:hint="eastAsia" w:ascii="仿宋" w:hAnsi="仿宋" w:eastAsia="仿宋" w:cs="仿宋"/>
          <w:snapToGrid w:val="0"/>
          <w:color w:val="000000"/>
          <w:spacing w:val="11"/>
          <w:kern w:val="0"/>
          <w:sz w:val="31"/>
          <w:szCs w:val="31"/>
          <w:lang w:val="en-US" w:eastAsia="en-US" w:bidi="ar-SA"/>
        </w:rPr>
        <w:t>次，检查涉气企业</w:t>
      </w:r>
      <w:r>
        <w:rPr>
          <w:rFonts w:hint="eastAsia" w:ascii="仿宋" w:hAnsi="仿宋" w:eastAsia="仿宋" w:cs="仿宋"/>
          <w:snapToGrid w:val="0"/>
          <w:color w:val="000000"/>
          <w:spacing w:val="11"/>
          <w:kern w:val="0"/>
          <w:sz w:val="31"/>
          <w:szCs w:val="31"/>
          <w:lang w:val="en-US" w:eastAsia="zh-CN" w:bidi="ar-SA"/>
        </w:rPr>
        <w:t>190</w:t>
      </w:r>
      <w:r>
        <w:rPr>
          <w:rFonts w:hint="eastAsia" w:ascii="仿宋" w:hAnsi="仿宋" w:eastAsia="仿宋" w:cs="仿宋"/>
          <w:snapToGrid w:val="0"/>
          <w:color w:val="000000"/>
          <w:spacing w:val="11"/>
          <w:kern w:val="0"/>
          <w:sz w:val="31"/>
          <w:szCs w:val="31"/>
          <w:lang w:val="en-US" w:eastAsia="en-US" w:bidi="ar-SA"/>
        </w:rPr>
        <w:t>余家次，发现1</w:t>
      </w:r>
      <w:r>
        <w:rPr>
          <w:rFonts w:hint="eastAsia" w:ascii="仿宋" w:hAnsi="仿宋" w:eastAsia="仿宋" w:cs="仿宋"/>
          <w:snapToGrid w:val="0"/>
          <w:color w:val="000000"/>
          <w:spacing w:val="11"/>
          <w:kern w:val="0"/>
          <w:sz w:val="31"/>
          <w:szCs w:val="31"/>
          <w:lang w:val="en-US" w:eastAsia="zh-CN" w:bidi="ar-SA"/>
        </w:rPr>
        <w:t>425个</w:t>
      </w:r>
      <w:r>
        <w:rPr>
          <w:rFonts w:hint="eastAsia" w:ascii="仿宋" w:hAnsi="仿宋" w:eastAsia="仿宋" w:cs="仿宋"/>
          <w:snapToGrid w:val="0"/>
          <w:color w:val="000000"/>
          <w:spacing w:val="11"/>
          <w:kern w:val="0"/>
          <w:sz w:val="31"/>
          <w:szCs w:val="31"/>
          <w:lang w:val="en-US" w:eastAsia="en-US" w:bidi="ar-SA"/>
        </w:rPr>
        <w:t>问题均整改到位。碧水保卫战方面，</w:t>
      </w:r>
      <w:r>
        <w:rPr>
          <w:rFonts w:hint="default" w:ascii="仿宋" w:hAnsi="仿宋" w:eastAsia="仿宋" w:cs="仿宋"/>
          <w:snapToGrid w:val="0"/>
          <w:color w:val="000000"/>
          <w:spacing w:val="11"/>
          <w:kern w:val="0"/>
          <w:sz w:val="31"/>
          <w:szCs w:val="31"/>
          <w:lang w:val="en-US" w:eastAsia="en-US" w:bidi="ar-SA"/>
        </w:rPr>
        <w:t>制定</w:t>
      </w:r>
      <w:r>
        <w:rPr>
          <w:rFonts w:hint="default" w:ascii="仿宋" w:hAnsi="仿宋" w:eastAsia="仿宋" w:cs="仿宋"/>
          <w:snapToGrid w:val="0"/>
          <w:color w:val="000000"/>
          <w:spacing w:val="11"/>
          <w:kern w:val="0"/>
          <w:sz w:val="31"/>
          <w:szCs w:val="31"/>
          <w:lang w:val="en-US" w:eastAsia="zh-CN" w:bidi="ar-SA"/>
        </w:rPr>
        <w:t>印</w:t>
      </w:r>
      <w:r>
        <w:rPr>
          <w:rFonts w:hint="default" w:ascii="仿宋" w:hAnsi="仿宋" w:eastAsia="仿宋" w:cs="仿宋"/>
          <w:snapToGrid w:val="0"/>
          <w:color w:val="000000"/>
          <w:spacing w:val="11"/>
          <w:kern w:val="0"/>
          <w:sz w:val="31"/>
          <w:szCs w:val="31"/>
          <w:lang w:val="en-US" w:eastAsia="en-US" w:bidi="ar-SA"/>
        </w:rPr>
        <w:t>发了《长沙市雨花区入河（湖）排污口全覆盖排查整治工作方案》，完成了生态环境部入河排污口系统中登记的10</w:t>
      </w:r>
      <w:r>
        <w:rPr>
          <w:rFonts w:hint="eastAsia" w:ascii="仿宋" w:hAnsi="仿宋" w:eastAsia="仿宋" w:cs="仿宋"/>
          <w:snapToGrid w:val="0"/>
          <w:color w:val="000000"/>
          <w:spacing w:val="11"/>
          <w:kern w:val="0"/>
          <w:sz w:val="31"/>
          <w:szCs w:val="31"/>
          <w:lang w:val="en-US" w:eastAsia="zh-CN" w:bidi="ar-SA"/>
        </w:rPr>
        <w:t>5</w:t>
      </w:r>
      <w:r>
        <w:rPr>
          <w:rFonts w:hint="default" w:ascii="仿宋" w:hAnsi="仿宋" w:eastAsia="仿宋" w:cs="仿宋"/>
          <w:snapToGrid w:val="0"/>
          <w:color w:val="000000"/>
          <w:spacing w:val="11"/>
          <w:kern w:val="0"/>
          <w:sz w:val="31"/>
          <w:szCs w:val="31"/>
          <w:lang w:val="en-US" w:eastAsia="en-US" w:bidi="ar-SA"/>
        </w:rPr>
        <w:t>个入河排污口的核查</w:t>
      </w:r>
      <w:r>
        <w:rPr>
          <w:rFonts w:hint="eastAsia" w:ascii="仿宋" w:hAnsi="仿宋" w:eastAsia="仿宋" w:cs="仿宋"/>
          <w:snapToGrid w:val="0"/>
          <w:color w:val="000000"/>
          <w:spacing w:val="11"/>
          <w:kern w:val="0"/>
          <w:sz w:val="31"/>
          <w:szCs w:val="31"/>
          <w:lang w:val="en-US" w:eastAsia="zh-CN" w:bidi="ar-SA"/>
        </w:rPr>
        <w:t>，核定排污口71个、</w:t>
      </w:r>
      <w:r>
        <w:rPr>
          <w:rFonts w:hint="default" w:ascii="仿宋" w:hAnsi="仿宋" w:eastAsia="仿宋" w:cs="仿宋"/>
          <w:snapToGrid w:val="0"/>
          <w:color w:val="000000"/>
          <w:spacing w:val="11"/>
          <w:kern w:val="0"/>
          <w:sz w:val="31"/>
          <w:szCs w:val="31"/>
          <w:lang w:val="en-US" w:eastAsia="zh-CN" w:bidi="ar-SA"/>
        </w:rPr>
        <w:t>非排污口34个</w:t>
      </w:r>
      <w:r>
        <w:rPr>
          <w:rFonts w:hint="eastAsia" w:ascii="仿宋" w:hAnsi="仿宋" w:eastAsia="仿宋" w:cs="仿宋"/>
          <w:snapToGrid w:val="0"/>
          <w:color w:val="000000"/>
          <w:spacing w:val="11"/>
          <w:kern w:val="0"/>
          <w:sz w:val="31"/>
          <w:szCs w:val="31"/>
          <w:lang w:val="en-US" w:eastAsia="zh-CN" w:bidi="ar-SA"/>
        </w:rPr>
        <w:t>，</w:t>
      </w:r>
      <w:r>
        <w:rPr>
          <w:rFonts w:hint="default" w:ascii="仿宋" w:hAnsi="仿宋" w:eastAsia="仿宋" w:cs="仿宋"/>
          <w:snapToGrid w:val="0"/>
          <w:color w:val="000000"/>
          <w:spacing w:val="11"/>
          <w:kern w:val="0"/>
          <w:sz w:val="31"/>
          <w:szCs w:val="31"/>
          <w:lang w:val="en-US" w:eastAsia="en-US" w:bidi="ar-SA"/>
        </w:rPr>
        <w:t>完成雨花区179个入河排污口的系统录入及上级审核</w:t>
      </w:r>
      <w:r>
        <w:rPr>
          <w:rFonts w:hint="default" w:ascii="仿宋" w:hAnsi="仿宋" w:eastAsia="仿宋" w:cs="仿宋"/>
          <w:snapToGrid w:val="0"/>
          <w:color w:val="000000"/>
          <w:spacing w:val="11"/>
          <w:kern w:val="0"/>
          <w:sz w:val="31"/>
          <w:szCs w:val="31"/>
          <w:lang w:val="en-US" w:eastAsia="zh-CN" w:bidi="ar-SA"/>
        </w:rPr>
        <w:t>；持续开展“一江一湖六河”生态环境问题排查，完成了市级交办的16个重大水生态环境问题整改方案的制定和14个问题的整改销号</w:t>
      </w:r>
      <w:r>
        <w:rPr>
          <w:rFonts w:hint="default" w:ascii="仿宋" w:hAnsi="仿宋" w:eastAsia="仿宋" w:cs="仿宋"/>
          <w:snapToGrid w:val="0"/>
          <w:color w:val="000000"/>
          <w:spacing w:val="11"/>
          <w:kern w:val="0"/>
          <w:sz w:val="31"/>
          <w:szCs w:val="31"/>
          <w:lang w:val="en-US" w:eastAsia="en-US" w:bidi="ar-SA"/>
        </w:rPr>
        <w:t>。</w:t>
      </w:r>
      <w:r>
        <w:rPr>
          <w:rFonts w:hint="default" w:ascii="仿宋" w:hAnsi="仿宋" w:eastAsia="仿宋" w:cs="仿宋"/>
          <w:snapToGrid w:val="0"/>
          <w:color w:val="000000"/>
          <w:spacing w:val="11"/>
          <w:kern w:val="0"/>
          <w:sz w:val="31"/>
          <w:szCs w:val="31"/>
          <w:lang w:val="en-US" w:eastAsia="zh-CN" w:bidi="ar-SA"/>
        </w:rPr>
        <w:t>长沙圭塘河生态修复项目成功入选财政部、自然资源部、生态环境部三部委联合发布的山水林田湖草沙一体化保护和修复工程第二批18个典型案例。</w:t>
      </w:r>
      <w:r>
        <w:rPr>
          <w:rFonts w:hint="default" w:ascii="仿宋" w:hAnsi="仿宋" w:eastAsia="仿宋" w:cs="仿宋"/>
          <w:snapToGrid w:val="0"/>
          <w:color w:val="000000"/>
          <w:spacing w:val="11"/>
          <w:kern w:val="0"/>
          <w:sz w:val="31"/>
          <w:szCs w:val="31"/>
          <w:lang w:val="en-US" w:eastAsia="en-US" w:bidi="ar-SA"/>
        </w:rPr>
        <w:t>净土保卫战方面，</w:t>
      </w:r>
      <w:r>
        <w:rPr>
          <w:rFonts w:hint="default" w:ascii="仿宋" w:hAnsi="仿宋" w:eastAsia="仿宋" w:cs="仿宋"/>
          <w:snapToGrid w:val="0"/>
          <w:color w:val="000000"/>
          <w:spacing w:val="11"/>
          <w:kern w:val="0"/>
          <w:sz w:val="31"/>
          <w:szCs w:val="31"/>
          <w:lang w:val="en-US" w:eastAsia="zh-CN" w:bidi="ar-SA"/>
        </w:rPr>
        <w:t>完成555家产废单位年度危险废物管理计划备案和危险废物转移计划的申报</w:t>
      </w:r>
      <w:r>
        <w:rPr>
          <w:rFonts w:hint="eastAsia" w:ascii="仿宋" w:hAnsi="仿宋" w:eastAsia="仿宋" w:cs="仿宋"/>
          <w:snapToGrid w:val="0"/>
          <w:color w:val="000000"/>
          <w:spacing w:val="11"/>
          <w:kern w:val="0"/>
          <w:sz w:val="31"/>
          <w:szCs w:val="31"/>
          <w:lang w:val="en-US" w:eastAsia="zh-CN" w:bidi="ar-SA"/>
        </w:rPr>
        <w:t>，</w:t>
      </w:r>
      <w:r>
        <w:rPr>
          <w:rFonts w:hint="default" w:ascii="仿宋" w:hAnsi="仿宋" w:eastAsia="仿宋" w:cs="仿宋"/>
          <w:snapToGrid w:val="0"/>
          <w:color w:val="000000"/>
          <w:spacing w:val="11"/>
          <w:kern w:val="0"/>
          <w:sz w:val="31"/>
          <w:szCs w:val="31"/>
          <w:lang w:val="en-US" w:eastAsia="zh-CN" w:bidi="ar-SA"/>
        </w:rPr>
        <w:t>组织170余家重点涉危废单位以及街、镇生态事务中心负责人开展污染防治培训</w:t>
      </w:r>
      <w:r>
        <w:rPr>
          <w:rFonts w:hint="eastAsia" w:ascii="仿宋" w:hAnsi="仿宋" w:eastAsia="仿宋" w:cs="仿宋"/>
          <w:snapToGrid w:val="0"/>
          <w:color w:val="000000"/>
          <w:spacing w:val="11"/>
          <w:kern w:val="0"/>
          <w:sz w:val="31"/>
          <w:szCs w:val="31"/>
          <w:lang w:val="en-US" w:eastAsia="zh-CN" w:bidi="ar-SA"/>
        </w:rPr>
        <w:t>；</w:t>
      </w:r>
      <w:r>
        <w:rPr>
          <w:rFonts w:hint="default" w:ascii="仿宋" w:hAnsi="仿宋" w:eastAsia="仿宋" w:cs="仿宋"/>
          <w:snapToGrid w:val="0"/>
          <w:color w:val="000000"/>
          <w:spacing w:val="11"/>
          <w:kern w:val="0"/>
          <w:sz w:val="31"/>
          <w:szCs w:val="31"/>
          <w:lang w:val="en-US" w:eastAsia="en-US" w:bidi="ar-SA"/>
        </w:rPr>
        <w:t>完成2个优先监管</w:t>
      </w:r>
      <w:r>
        <w:rPr>
          <w:rFonts w:hint="eastAsia" w:ascii="仿宋" w:hAnsi="仿宋" w:eastAsia="仿宋" w:cs="仿宋"/>
          <w:snapToGrid w:val="0"/>
          <w:color w:val="000000"/>
          <w:spacing w:val="11"/>
          <w:kern w:val="0"/>
          <w:sz w:val="31"/>
          <w:szCs w:val="31"/>
          <w:lang w:val="en-US" w:eastAsia="en-US" w:bidi="ar-SA"/>
        </w:rPr>
        <w:t>地块和</w:t>
      </w:r>
      <w:r>
        <w:rPr>
          <w:rFonts w:hint="eastAsia" w:ascii="仿宋" w:hAnsi="仿宋" w:eastAsia="仿宋" w:cs="仿宋"/>
          <w:snapToGrid w:val="0"/>
          <w:color w:val="000000"/>
          <w:spacing w:val="11"/>
          <w:kern w:val="0"/>
          <w:sz w:val="31"/>
          <w:szCs w:val="31"/>
          <w:lang w:val="en-US" w:eastAsia="zh-CN" w:bidi="ar-SA"/>
        </w:rPr>
        <w:t>12</w:t>
      </w:r>
      <w:r>
        <w:rPr>
          <w:rFonts w:hint="eastAsia" w:ascii="仿宋" w:hAnsi="仿宋" w:eastAsia="仿宋" w:cs="仿宋"/>
          <w:snapToGrid w:val="0"/>
          <w:color w:val="000000"/>
          <w:spacing w:val="11"/>
          <w:kern w:val="0"/>
          <w:sz w:val="31"/>
          <w:szCs w:val="31"/>
          <w:lang w:val="en-US" w:eastAsia="en-US" w:bidi="ar-SA"/>
        </w:rPr>
        <w:t>个重点建设用地</w:t>
      </w:r>
      <w:r>
        <w:rPr>
          <w:rFonts w:hint="eastAsia" w:ascii="仿宋" w:hAnsi="仿宋" w:eastAsia="仿宋" w:cs="仿宋"/>
          <w:snapToGrid w:val="0"/>
          <w:color w:val="000000"/>
          <w:spacing w:val="11"/>
          <w:kern w:val="0"/>
          <w:sz w:val="31"/>
          <w:szCs w:val="31"/>
          <w:lang w:val="en-US" w:eastAsia="zh-CN" w:bidi="ar-SA"/>
        </w:rPr>
        <w:t>考核地块</w:t>
      </w:r>
      <w:r>
        <w:rPr>
          <w:rFonts w:hint="eastAsia" w:ascii="仿宋" w:hAnsi="仿宋" w:eastAsia="仿宋" w:cs="仿宋"/>
          <w:snapToGrid w:val="0"/>
          <w:color w:val="000000"/>
          <w:spacing w:val="11"/>
          <w:kern w:val="0"/>
          <w:sz w:val="31"/>
          <w:szCs w:val="31"/>
          <w:lang w:val="en-US" w:eastAsia="en-US" w:bidi="ar-SA"/>
        </w:rPr>
        <w:t>的污染状况调查；持续开展花桥地下水国控点的污染状况调查并编制花桥地下水国控点优化方案</w:t>
      </w:r>
      <w:r>
        <w:rPr>
          <w:rFonts w:hint="eastAsia" w:ascii="仿宋" w:hAnsi="仿宋" w:eastAsia="仿宋" w:cs="仿宋"/>
          <w:snapToGrid w:val="0"/>
          <w:color w:val="000000"/>
          <w:spacing w:val="11"/>
          <w:kern w:val="0"/>
          <w:sz w:val="31"/>
          <w:szCs w:val="31"/>
          <w:lang w:val="en-US" w:eastAsia="zh-CN" w:bidi="ar-SA"/>
        </w:rPr>
        <w:t>。</w:t>
      </w:r>
    </w:p>
    <w:p w14:paraId="78C9DF9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2"/>
      <w:numFmt w:val="chineseCounting"/>
      <w:lvlText w:val="(%1)"/>
      <w:lvlJc w:val="left"/>
      <w:pPr>
        <w:tabs>
          <w:tab w:val="left" w:pos="312"/>
        </w:tabs>
      </w:pPr>
      <w:rPr>
        <w:rFonts w:hint="eastAsia"/>
      </w:rPr>
    </w:lvl>
  </w:abstractNum>
  <w:abstractNum w:abstractNumId="1">
    <w:nsid w:val="00000002"/>
    <w:multiLevelType w:val="singleLevel"/>
    <w:tmpl w:val="00000002"/>
    <w:lvl w:ilvl="0" w:tentative="0">
      <w:start w:val="2"/>
      <w:numFmt w:val="decimal"/>
      <w:suff w:val="nothing"/>
      <w:lvlText w:val="%1、"/>
      <w:lvlJc w:val="left"/>
    </w:lvl>
  </w:abstractNum>
  <w:abstractNum w:abstractNumId="2">
    <w:nsid w:val="00000003"/>
    <w:multiLevelType w:val="singleLevel"/>
    <w:tmpl w:val="00000003"/>
    <w:lvl w:ilvl="0" w:tentative="0">
      <w:start w:val="5"/>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A618BA"/>
    <w:rsid w:val="0333641C"/>
    <w:rsid w:val="107B12D3"/>
    <w:rsid w:val="43A618BA"/>
    <w:rsid w:val="750C0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3"/>
    <w:next w:val="1"/>
    <w:semiHidden/>
    <w:qFormat/>
    <w:uiPriority w:val="0"/>
    <w:pPr>
      <w:jc w:val="left"/>
    </w:pPr>
    <w:rPr>
      <w:rFonts w:ascii="仿宋" w:hAnsi="仿宋" w:eastAsia="仿宋" w:cs="仿宋"/>
      <w:color w:val="000000"/>
      <w:sz w:val="31"/>
      <w:szCs w:val="31"/>
      <w:lang w:val="en-US" w:eastAsia="en-US" w:bidi="ar-SA"/>
    </w:rPr>
  </w:style>
  <w:style w:type="paragraph" w:customStyle="1" w:styleId="3">
    <w:name w:val="Normal_60f7fd1b-be6a-4a02-83a4-0ba05663b06f"/>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4">
    <w:name w:val="toc 5"/>
    <w:basedOn w:val="3"/>
    <w:next w:val="1"/>
    <w:semiHidden/>
    <w:qFormat/>
    <w:uiPriority w:val="0"/>
    <w:pPr>
      <w:jc w:val="left"/>
    </w:pPr>
    <w:rPr>
      <w:color w:val="000000"/>
      <w:lang w:val="en-US" w:eastAsia="en-US"/>
    </w:rPr>
  </w:style>
  <w:style w:type="paragraph" w:customStyle="1" w:styleId="7">
    <w:name w:val="Normal_d762865e-0a2d-4c71-b6c9-b0359e695947"/>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customStyle="1" w:styleId="8">
    <w:name w:val="正文文本1"/>
    <w:basedOn w:val="3"/>
    <w:qFormat/>
    <w:uiPriority w:val="99"/>
    <w:pPr>
      <w:jc w:val="left"/>
    </w:pPr>
    <w:rPr>
      <w:color w:val="000000"/>
      <w:lang w:val="en-US"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3321</Words>
  <Characters>3608</Characters>
  <Lines>0</Lines>
  <Paragraphs>0</Paragraphs>
  <TotalTime>203</TotalTime>
  <ScaleCrop>false</ScaleCrop>
  <LinksUpToDate>false</LinksUpToDate>
  <CharactersWithSpaces>3637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2025-09-26T08:59:00Z</dcterms:created>
  <dc:creator>blingbling</dc:creator>
  <cp:lastModifiedBy>blingbling</cp:lastModifiedBy>
  <dcterms:modified xsi:type="dcterms:W3CDTF">2025-09-29T08:56:20Z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E873972ED09948B2A60DC41898FC14A6_13</vt:lpwstr>
  </property>
  <property fmtid="{D5CDD505-2E9C-101B-9397-08002B2CF9AE}" pid="4" name="KSOTemplateDocerSaveRecord">
    <vt:lpwstr>eyJoZGlkIjoiZTRhZGYyZjQ1ZTc4YTE2Y2Q0YTQyNmUwZGNiMjVjMjkiLCJ1c2VySWQiOiIxMDg2Mzc4MzkzIn0=</vt:lpwstr>
  </property>
</Properties>
</file>