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6354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contextualSpacing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  <w:t>2</w:t>
      </w:r>
    </w:p>
    <w:p w14:paraId="4F7E79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880" w:firstLineChars="200"/>
        <w:contextualSpacing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u w:val="none"/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u w:val="none"/>
        </w:rPr>
        <w:t>工伤预防项目实施方案</w:t>
      </w:r>
      <w:bookmarkEnd w:id="0"/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u w:val="none"/>
        </w:rPr>
        <w:t>（提纲模版）</w:t>
      </w:r>
    </w:p>
    <w:p w14:paraId="068D0FA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一、基本情况</w:t>
      </w:r>
    </w:p>
    <w:p w14:paraId="33523763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（一）申报单位基本情况：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单位名称、单位类型（大型企业、中型企业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）、上年度营业收入、资产总额、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职工人数、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业务范围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地址等情况。</w:t>
      </w:r>
    </w:p>
    <w:p w14:paraId="7181E58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（二）工伤预防项目负责人基本情况：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姓名、性别、年龄、职务、学历、专业、专业技术职称、职业（执业）资格，历年项目（包括工伤预防、安全生产、职业病防治宣传培训项目）负责情况，与项目相关的其它情况。</w:t>
      </w:r>
    </w:p>
    <w:p w14:paraId="1BF87E2D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二、必要性和可行性</w:t>
      </w:r>
    </w:p>
    <w:p w14:paraId="2B9871A2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（一）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lang w:eastAsia="zh-CN"/>
        </w:rPr>
        <w:t>实施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工伤预防项目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背景情况。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lang w:eastAsia="zh-CN"/>
        </w:rPr>
        <w:t>单位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近两年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安全教育和工伤预防宣传培训情况，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工伤发生情况，项目需求分析等。</w:t>
      </w:r>
    </w:p>
    <w:p w14:paraId="2453041C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（二）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lang w:eastAsia="zh-CN"/>
        </w:rPr>
        <w:t>实施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工伤预防项目的必要性。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项目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实施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对预防工伤事故和职业病的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针对性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作用，对企业和职工的影响。</w:t>
      </w:r>
    </w:p>
    <w:p w14:paraId="2695D380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（三）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lang w:eastAsia="zh-CN"/>
        </w:rPr>
        <w:t>实施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工伤预防项目的可行性。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实施项目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的主要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流程和环节、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设施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设备和人员配置、时间安排；项目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实施的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绩效目标分析。</w:t>
      </w:r>
    </w:p>
    <w:p w14:paraId="0B39FC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jc w:val="both"/>
        <w:textAlignment w:val="auto"/>
        <w:outlineLvl w:val="8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（四）项目实施风险及应对措施。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实施过程存在的主要风险与不确定性分析；对风险的应对措施。</w:t>
      </w:r>
    </w:p>
    <w:p w14:paraId="3918895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三、实施条件</w:t>
      </w:r>
    </w:p>
    <w:p w14:paraId="1B4AA556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（一）硬件条件。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具备满足项目实施所需的设施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设备等相关条件。</w:t>
      </w:r>
    </w:p>
    <w:p w14:paraId="0EB7FEC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（二）人员条件。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项目负责人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、主要专业技术人员、管理人员基本情况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（包括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专业背景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职责分工、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工作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经验、工作成效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等情况。</w:t>
      </w:r>
    </w:p>
    <w:p w14:paraId="39E8C4F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（三）技术条件。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近两年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企业开展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工伤预防（含安全生产事故预防、职业病预防）宣传或培训的经验；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实施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项目的方法和技术手段等。</w:t>
      </w:r>
    </w:p>
    <w:p w14:paraId="02EF15C6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（四）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lang w:eastAsia="zh-CN"/>
        </w:rPr>
        <w:t>实施方式。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直接实施或委托第三方实施。</w:t>
      </w:r>
    </w:p>
    <w:p w14:paraId="684AF80F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  <w:lang w:eastAsia="zh-CN"/>
        </w:rPr>
        <w:t>（五）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其他相关条件。</w:t>
      </w:r>
    </w:p>
    <w:p w14:paraId="0E621BC3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四、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  <w:t>工作任务及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绩效目标</w:t>
      </w:r>
    </w:p>
    <w:p w14:paraId="299C28C0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工伤预防项目的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具体工作任务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和预期效果等。</w:t>
      </w:r>
    </w:p>
    <w:p w14:paraId="27EF2C28"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  <w:lang w:eastAsia="zh-CN"/>
        </w:rPr>
        <w:t>主要工作任务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。</w:t>
      </w:r>
    </w:p>
    <w:p w14:paraId="41E2B8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kern w:val="0"/>
          <w:sz w:val="32"/>
          <w:szCs w:val="32"/>
          <w:lang w:eastAsia="zh-CN"/>
        </w:rPr>
        <w:t>（二）</w:t>
      </w:r>
      <w:r>
        <w:rPr>
          <w:rFonts w:hint="default" w:ascii="Times New Roman" w:hAnsi="Times New Roman" w:eastAsia="楷体_GB2312" w:cs="Times New Roman"/>
          <w:color w:val="auto"/>
          <w:kern w:val="0"/>
          <w:sz w:val="32"/>
          <w:szCs w:val="32"/>
        </w:rPr>
        <w:t>实施内容</w:t>
      </w:r>
      <w:r>
        <w:rPr>
          <w:rFonts w:hint="default" w:ascii="Times New Roman" w:hAnsi="Times New Roman" w:eastAsia="楷体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楷体_GB2312" w:cs="Times New Roman"/>
          <w:color w:val="auto"/>
          <w:kern w:val="0"/>
          <w:sz w:val="32"/>
          <w:szCs w:val="32"/>
        </w:rPr>
        <w:t>实施方法</w:t>
      </w:r>
      <w:r>
        <w:rPr>
          <w:rFonts w:hint="default" w:ascii="Times New Roman" w:hAnsi="Times New Roman" w:eastAsia="楷体_GB2312" w:cs="Times New Roman"/>
          <w:color w:val="auto"/>
          <w:kern w:val="0"/>
          <w:sz w:val="32"/>
          <w:szCs w:val="32"/>
          <w:lang w:eastAsia="zh-CN"/>
        </w:rPr>
        <w:t>、工作</w:t>
      </w:r>
      <w:r>
        <w:rPr>
          <w:rFonts w:hint="default" w:ascii="Times New Roman" w:hAnsi="Times New Roman" w:eastAsia="楷体_GB2312" w:cs="Times New Roman"/>
          <w:color w:val="auto"/>
          <w:kern w:val="0"/>
          <w:sz w:val="32"/>
          <w:szCs w:val="32"/>
        </w:rPr>
        <w:t>进度和技术手段</w:t>
      </w:r>
      <w:r>
        <w:rPr>
          <w:rFonts w:hint="default" w:ascii="Times New Roman" w:hAnsi="Times New Roman" w:eastAsia="楷体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楷体_GB2312" w:cs="Times New Roman"/>
          <w:color w:val="auto"/>
          <w:kern w:val="0"/>
          <w:sz w:val="32"/>
          <w:szCs w:val="32"/>
        </w:rPr>
        <w:t>组织保障</w:t>
      </w:r>
      <w:r>
        <w:rPr>
          <w:rFonts w:hint="default" w:ascii="Times New Roman" w:hAnsi="Times New Roman" w:eastAsia="楷体_GB2312" w:cs="Times New Roman"/>
          <w:color w:val="auto"/>
          <w:kern w:val="0"/>
          <w:sz w:val="32"/>
          <w:szCs w:val="32"/>
          <w:lang w:eastAsia="zh-CN"/>
        </w:rPr>
        <w:t>措施等</w:t>
      </w:r>
      <w:r>
        <w:rPr>
          <w:rFonts w:hint="default" w:ascii="Times New Roman" w:hAnsi="Times New Roman" w:eastAsia="楷体_GB2312" w:cs="Times New Roman"/>
          <w:color w:val="auto"/>
          <w:kern w:val="0"/>
          <w:sz w:val="32"/>
          <w:szCs w:val="32"/>
        </w:rPr>
        <w:t>。</w:t>
      </w:r>
    </w:p>
    <w:p w14:paraId="4706BAC7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（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lang w:eastAsia="zh-CN"/>
        </w:rPr>
        <w:t>三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）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lang w:eastAsia="zh-CN"/>
        </w:rPr>
        <w:t>具体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目标。</w:t>
      </w:r>
    </w:p>
    <w:p w14:paraId="5F6F4206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五、费用预算</w:t>
      </w:r>
    </w:p>
    <w:p w14:paraId="129D0859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预算总金额、明细。</w:t>
      </w:r>
    </w:p>
    <w:p w14:paraId="42B25CC9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预算应当经本单位财务部门审核，做到详尽翔实、精细节约，包含完成本项目所需的所有费用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各项费用均须列出明细清单，报价精确到整数，提供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简要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依据和说明。</w:t>
      </w:r>
    </w:p>
    <w:p w14:paraId="3C8F6824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培训项目的费用预算，应当参照《关于印发</w:t>
      </w: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  <w:lang w:val="en-US" w:eastAsia="zh-CN"/>
        </w:rPr>
        <w:t>&lt;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湖南省省直机关培训费管理办法</w:t>
      </w: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  <w:lang w:val="en-US" w:eastAsia="zh-CN"/>
        </w:rPr>
        <w:t>&gt;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的通知》（湘财行〔2017〕7号）等相关规定及项目标准执行。</w:t>
      </w:r>
    </w:p>
    <w:p w14:paraId="747840BC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 w14:paraId="385CE796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申报单位（盖章）：</w:t>
      </w:r>
    </w:p>
    <w:p w14:paraId="665D33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jc w:val="both"/>
        <w:textAlignment w:val="auto"/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年  月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74ADCFE-5D2E-4F60-BA6D-3049B3A24DB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B9C7A5F0-EEE2-47D7-A572-063C4862FAA1}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17A5F0DA-FBE4-4D5D-A601-F1A1184C9749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8E6C079A-BBB7-4103-9396-C6F549E6034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55092555-1B88-489A-803A-92E3ECDEDA46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6" w:fontKey="{28E38ED1-62D1-4CBD-9395-766E97741740}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  <w:embedRegular r:id="rId7" w:fontKey="{74BAA452-C032-4995-B5F1-5E2C993F56EB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77B7E5"/>
    <w:multiLevelType w:val="singleLevel"/>
    <w:tmpl w:val="FD77B7E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700CB4"/>
    <w:rsid w:val="1F700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</w:rPr>
  </w:style>
  <w:style w:type="paragraph" w:styleId="3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2025-06-10T07:04:00Z</dcterms:created>
  <dc:creator>木子</dc:creator>
  <cp:lastModifiedBy>木子</cp:lastModifiedBy>
  <dcterms:modified xsi:type="dcterms:W3CDTF">2025-06-10T07:07:12Z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2169EB75411A446FB7EA8C049C0018EA_11</vt:lpwstr>
  </property>
  <property fmtid="{D5CDD505-2E9C-101B-9397-08002B2CF9AE}" pid="4" name="KSOTemplateDocerSaveRecord">
    <vt:lpwstr>eyJoZGlkIjoiMDc4MWU5ZjRiMmVjNzgxNjc1ZmQ5ZWI5MDk2M2IzMjgiLCJ1c2VySWQiOiIzODI1Njc2NjcifQ==</vt:lpwstr>
  </property>
</Properties>
</file>